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85" w:rsidRPr="00491669" w:rsidRDefault="00F01F22" w:rsidP="00A63E85">
      <w:pPr>
        <w:ind w:left="57"/>
        <w:jc w:val="center"/>
        <w:rPr>
          <w:b/>
          <w:bCs/>
          <w:sz w:val="22"/>
          <w:szCs w:val="22"/>
        </w:rPr>
      </w:pPr>
      <w:r w:rsidRPr="00491669">
        <w:rPr>
          <w:b/>
          <w:bCs/>
          <w:sz w:val="22"/>
          <w:szCs w:val="22"/>
        </w:rPr>
        <w:t>Сообщение</w:t>
      </w:r>
      <w:r w:rsidR="009A5CCF" w:rsidRPr="00491669">
        <w:rPr>
          <w:b/>
          <w:bCs/>
          <w:sz w:val="22"/>
          <w:szCs w:val="22"/>
        </w:rPr>
        <w:t xml:space="preserve"> </w:t>
      </w:r>
      <w:r w:rsidR="00DF1F0D" w:rsidRPr="00491669">
        <w:rPr>
          <w:b/>
          <w:bCs/>
          <w:sz w:val="22"/>
          <w:szCs w:val="22"/>
        </w:rPr>
        <w:t>о существенном факте</w:t>
      </w:r>
      <w:r w:rsidRPr="00491669">
        <w:rPr>
          <w:b/>
          <w:bCs/>
          <w:sz w:val="22"/>
          <w:szCs w:val="22"/>
        </w:rPr>
        <w:br/>
      </w:r>
      <w:r w:rsidR="00AD52C8" w:rsidRPr="00491669">
        <w:rPr>
          <w:b/>
          <w:bCs/>
          <w:sz w:val="22"/>
          <w:szCs w:val="22"/>
        </w:rPr>
        <w:t>«</w:t>
      </w:r>
      <w:r w:rsidR="00A63E85" w:rsidRPr="00491669">
        <w:rPr>
          <w:b/>
          <w:bCs/>
          <w:sz w:val="22"/>
          <w:szCs w:val="22"/>
        </w:rPr>
        <w:t>Об одобрении сделок, признаваемых в соответствии с законодательством Российской Федерации крупными</w:t>
      </w:r>
    </w:p>
    <w:p w:rsidR="00F01F22" w:rsidRPr="00491669" w:rsidRDefault="00A63E85" w:rsidP="00A63E85">
      <w:pPr>
        <w:ind w:left="57"/>
        <w:jc w:val="center"/>
        <w:rPr>
          <w:b/>
          <w:bCs/>
          <w:sz w:val="22"/>
          <w:szCs w:val="22"/>
        </w:rPr>
      </w:pPr>
      <w:r w:rsidRPr="00491669">
        <w:rPr>
          <w:b/>
          <w:bCs/>
          <w:sz w:val="22"/>
          <w:szCs w:val="22"/>
        </w:rPr>
        <w:t>сделками и (или) сделками, в совершении которых имеется заинтересованность</w:t>
      </w:r>
      <w:r w:rsidR="00DF1F0D" w:rsidRPr="00491669">
        <w:rPr>
          <w:b/>
          <w:bCs/>
          <w:sz w:val="22"/>
          <w:szCs w:val="22"/>
        </w:rPr>
        <w:t>»</w:t>
      </w:r>
    </w:p>
    <w:p w:rsidR="00230960" w:rsidRPr="00491669" w:rsidRDefault="00230960" w:rsidP="00230960">
      <w:pPr>
        <w:jc w:val="center"/>
        <w:rPr>
          <w:b/>
          <w:bCs/>
          <w:sz w:val="22"/>
          <w:szCs w:val="22"/>
        </w:rPr>
      </w:pP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5528"/>
      </w:tblGrid>
      <w:tr w:rsidR="008E7E44" w:rsidRPr="00491669" w:rsidTr="006E7CC9">
        <w:tc>
          <w:tcPr>
            <w:tcW w:w="10490" w:type="dxa"/>
            <w:gridSpan w:val="2"/>
            <w:tcBorders>
              <w:top w:val="single" w:sz="4" w:space="0" w:color="auto"/>
              <w:left w:val="single" w:sz="4" w:space="0" w:color="auto"/>
              <w:bottom w:val="single" w:sz="4" w:space="0" w:color="auto"/>
              <w:right w:val="single" w:sz="4" w:space="0" w:color="auto"/>
            </w:tcBorders>
          </w:tcPr>
          <w:p w:rsidR="008E7E44" w:rsidRPr="00491669" w:rsidRDefault="008E7E44" w:rsidP="008E7E44">
            <w:pPr>
              <w:jc w:val="center"/>
              <w:rPr>
                <w:b/>
                <w:bCs/>
                <w:sz w:val="22"/>
                <w:szCs w:val="22"/>
              </w:rPr>
            </w:pPr>
            <w:r w:rsidRPr="00491669">
              <w:rPr>
                <w:sz w:val="22"/>
                <w:szCs w:val="22"/>
              </w:rPr>
              <w:t>1. Общие сведения</w:t>
            </w:r>
          </w:p>
        </w:tc>
      </w:tr>
      <w:tr w:rsidR="00AF7682" w:rsidRPr="00491669" w:rsidTr="006E7CC9">
        <w:tc>
          <w:tcPr>
            <w:tcW w:w="4962" w:type="dxa"/>
            <w:tcBorders>
              <w:top w:val="single" w:sz="4" w:space="0" w:color="auto"/>
              <w:left w:val="single" w:sz="4" w:space="0" w:color="auto"/>
              <w:bottom w:val="single" w:sz="4" w:space="0" w:color="auto"/>
              <w:right w:val="single" w:sz="4" w:space="0" w:color="auto"/>
            </w:tcBorders>
            <w:vAlign w:val="center"/>
          </w:tcPr>
          <w:p w:rsidR="00AF7682" w:rsidRPr="00491669" w:rsidRDefault="00AF7682" w:rsidP="008E7E44">
            <w:pPr>
              <w:ind w:left="57" w:right="57"/>
              <w:rPr>
                <w:sz w:val="22"/>
                <w:szCs w:val="22"/>
              </w:rPr>
            </w:pPr>
            <w:r w:rsidRPr="00491669">
              <w:rPr>
                <w:snapToGrid w:val="0"/>
                <w:color w:val="000000"/>
                <w:sz w:val="22"/>
                <w:szCs w:val="22"/>
              </w:rPr>
              <w:t>1.1. Полное фирменное наименование эмитента (для некоммерческой организации — наименование)</w:t>
            </w:r>
          </w:p>
        </w:tc>
        <w:tc>
          <w:tcPr>
            <w:tcW w:w="5528" w:type="dxa"/>
            <w:tcBorders>
              <w:top w:val="single" w:sz="4" w:space="0" w:color="auto"/>
              <w:left w:val="single" w:sz="4" w:space="0" w:color="auto"/>
              <w:bottom w:val="single" w:sz="4" w:space="0" w:color="auto"/>
              <w:right w:val="single" w:sz="4" w:space="0" w:color="auto"/>
            </w:tcBorders>
          </w:tcPr>
          <w:p w:rsidR="00AF7682" w:rsidRPr="00491669" w:rsidRDefault="00C225C9" w:rsidP="00690348">
            <w:pPr>
              <w:ind w:left="57"/>
              <w:jc w:val="center"/>
              <w:rPr>
                <w:b/>
                <w:bCs/>
                <w:i/>
                <w:iCs/>
                <w:sz w:val="22"/>
                <w:szCs w:val="22"/>
              </w:rPr>
            </w:pPr>
            <w:r w:rsidRPr="00491669">
              <w:rPr>
                <w:b/>
                <w:bCs/>
                <w:i/>
                <w:iCs/>
                <w:sz w:val="22"/>
                <w:szCs w:val="22"/>
              </w:rPr>
              <w:t>Публичное а</w:t>
            </w:r>
            <w:r w:rsidR="00AF7682" w:rsidRPr="00491669">
              <w:rPr>
                <w:b/>
                <w:bCs/>
                <w:i/>
                <w:iCs/>
                <w:sz w:val="22"/>
                <w:szCs w:val="22"/>
              </w:rPr>
              <w:t xml:space="preserve">кционерное общество </w:t>
            </w:r>
          </w:p>
          <w:p w:rsidR="00AF7682" w:rsidRPr="00491669" w:rsidRDefault="00AF7682" w:rsidP="00C225C9">
            <w:pPr>
              <w:ind w:left="57"/>
              <w:jc w:val="center"/>
              <w:rPr>
                <w:b/>
                <w:bCs/>
                <w:i/>
                <w:iCs/>
                <w:sz w:val="22"/>
                <w:szCs w:val="22"/>
              </w:rPr>
            </w:pPr>
            <w:r w:rsidRPr="00491669">
              <w:rPr>
                <w:b/>
                <w:bCs/>
                <w:i/>
                <w:iCs/>
                <w:sz w:val="22"/>
                <w:szCs w:val="22"/>
              </w:rPr>
              <w:t>«</w:t>
            </w:r>
            <w:r w:rsidR="00C225C9" w:rsidRPr="00491669">
              <w:rPr>
                <w:b/>
                <w:bCs/>
                <w:i/>
                <w:iCs/>
                <w:sz w:val="22"/>
                <w:szCs w:val="22"/>
              </w:rPr>
              <w:t>ИНВЕСТ-ДЕВЕЛОПМЕНТ</w:t>
            </w:r>
            <w:r w:rsidRPr="00491669">
              <w:rPr>
                <w:b/>
                <w:bCs/>
                <w:i/>
                <w:iCs/>
                <w:sz w:val="22"/>
                <w:szCs w:val="22"/>
              </w:rPr>
              <w:t>»</w:t>
            </w:r>
          </w:p>
        </w:tc>
      </w:tr>
      <w:tr w:rsidR="00AF7682" w:rsidRPr="00491669" w:rsidTr="006E7CC9">
        <w:tc>
          <w:tcPr>
            <w:tcW w:w="4962" w:type="dxa"/>
            <w:tcBorders>
              <w:top w:val="single" w:sz="4" w:space="0" w:color="auto"/>
              <w:left w:val="single" w:sz="4" w:space="0" w:color="auto"/>
              <w:bottom w:val="single" w:sz="4" w:space="0" w:color="auto"/>
              <w:right w:val="single" w:sz="4" w:space="0" w:color="auto"/>
            </w:tcBorders>
            <w:vAlign w:val="center"/>
          </w:tcPr>
          <w:p w:rsidR="00AF7682" w:rsidRPr="00491669" w:rsidRDefault="00AF7682" w:rsidP="008E7E44">
            <w:pPr>
              <w:ind w:left="57" w:right="57"/>
              <w:rPr>
                <w:sz w:val="22"/>
                <w:szCs w:val="22"/>
              </w:rPr>
            </w:pPr>
            <w:r w:rsidRPr="00491669">
              <w:rPr>
                <w:snapToGrid w:val="0"/>
                <w:color w:val="000000"/>
                <w:sz w:val="22"/>
                <w:szCs w:val="22"/>
              </w:rPr>
              <w:t>1.2. Сокращенное фирменное наименование эмитента</w:t>
            </w:r>
          </w:p>
        </w:tc>
        <w:tc>
          <w:tcPr>
            <w:tcW w:w="5528" w:type="dxa"/>
            <w:tcBorders>
              <w:top w:val="single" w:sz="4" w:space="0" w:color="auto"/>
              <w:left w:val="single" w:sz="4" w:space="0" w:color="auto"/>
              <w:bottom w:val="single" w:sz="4" w:space="0" w:color="auto"/>
              <w:right w:val="single" w:sz="4" w:space="0" w:color="auto"/>
            </w:tcBorders>
          </w:tcPr>
          <w:p w:rsidR="00AF7682" w:rsidRPr="00491669" w:rsidRDefault="00C225C9" w:rsidP="00C225C9">
            <w:pPr>
              <w:ind w:left="57"/>
              <w:jc w:val="center"/>
              <w:rPr>
                <w:b/>
                <w:bCs/>
                <w:i/>
                <w:iCs/>
                <w:sz w:val="22"/>
                <w:szCs w:val="22"/>
              </w:rPr>
            </w:pPr>
            <w:r w:rsidRPr="00491669">
              <w:rPr>
                <w:b/>
                <w:bCs/>
                <w:i/>
                <w:iCs/>
                <w:sz w:val="22"/>
                <w:szCs w:val="22"/>
              </w:rPr>
              <w:t>ПАО</w:t>
            </w:r>
            <w:r w:rsidR="00AF7682" w:rsidRPr="00491669">
              <w:rPr>
                <w:b/>
                <w:bCs/>
                <w:i/>
                <w:iCs/>
                <w:sz w:val="22"/>
                <w:szCs w:val="22"/>
              </w:rPr>
              <w:t xml:space="preserve"> «</w:t>
            </w:r>
            <w:r w:rsidRPr="00491669">
              <w:rPr>
                <w:b/>
                <w:bCs/>
                <w:i/>
                <w:iCs/>
                <w:sz w:val="22"/>
                <w:szCs w:val="22"/>
              </w:rPr>
              <w:t>ИНВЕСТ-ДЕВЕЛОПМЕНТ</w:t>
            </w:r>
            <w:r w:rsidR="00AF7682" w:rsidRPr="00491669">
              <w:rPr>
                <w:b/>
                <w:bCs/>
                <w:i/>
                <w:iCs/>
                <w:sz w:val="22"/>
                <w:szCs w:val="22"/>
              </w:rPr>
              <w:t>»</w:t>
            </w:r>
          </w:p>
        </w:tc>
      </w:tr>
      <w:tr w:rsidR="00AF7682" w:rsidRPr="00491669" w:rsidTr="006E7CC9">
        <w:tc>
          <w:tcPr>
            <w:tcW w:w="4962" w:type="dxa"/>
            <w:tcBorders>
              <w:top w:val="single" w:sz="4" w:space="0" w:color="auto"/>
              <w:left w:val="single" w:sz="4" w:space="0" w:color="auto"/>
              <w:bottom w:val="single" w:sz="4" w:space="0" w:color="auto"/>
              <w:right w:val="single" w:sz="4" w:space="0" w:color="auto"/>
            </w:tcBorders>
            <w:vAlign w:val="center"/>
          </w:tcPr>
          <w:p w:rsidR="00AF7682" w:rsidRPr="00491669" w:rsidRDefault="00AF7682" w:rsidP="008E7E44">
            <w:pPr>
              <w:ind w:left="57" w:right="57"/>
              <w:rPr>
                <w:sz w:val="22"/>
                <w:szCs w:val="22"/>
              </w:rPr>
            </w:pPr>
            <w:r w:rsidRPr="00491669">
              <w:rPr>
                <w:snapToGrid w:val="0"/>
                <w:color w:val="000000"/>
                <w:sz w:val="22"/>
                <w:szCs w:val="22"/>
              </w:rPr>
              <w:t>1.3. Место нахождения эмитента</w:t>
            </w:r>
          </w:p>
        </w:tc>
        <w:tc>
          <w:tcPr>
            <w:tcW w:w="5528" w:type="dxa"/>
            <w:tcBorders>
              <w:top w:val="single" w:sz="4" w:space="0" w:color="auto"/>
              <w:left w:val="single" w:sz="4" w:space="0" w:color="auto"/>
              <w:bottom w:val="single" w:sz="4" w:space="0" w:color="auto"/>
              <w:right w:val="single" w:sz="4" w:space="0" w:color="auto"/>
            </w:tcBorders>
          </w:tcPr>
          <w:p w:rsidR="00AF7682" w:rsidRPr="00491669" w:rsidRDefault="00AF7682" w:rsidP="00C225C9">
            <w:pPr>
              <w:ind w:left="57"/>
              <w:jc w:val="center"/>
              <w:rPr>
                <w:b/>
                <w:bCs/>
                <w:i/>
                <w:iCs/>
                <w:sz w:val="22"/>
                <w:szCs w:val="22"/>
              </w:rPr>
            </w:pPr>
            <w:r w:rsidRPr="00491669">
              <w:rPr>
                <w:b/>
                <w:bCs/>
                <w:i/>
                <w:iCs/>
                <w:sz w:val="22"/>
                <w:szCs w:val="22"/>
              </w:rPr>
              <w:t>1250</w:t>
            </w:r>
            <w:r w:rsidR="00C225C9" w:rsidRPr="00491669">
              <w:rPr>
                <w:b/>
                <w:bCs/>
                <w:i/>
                <w:iCs/>
                <w:sz w:val="22"/>
                <w:szCs w:val="22"/>
              </w:rPr>
              <w:t>40</w:t>
            </w:r>
            <w:r w:rsidRPr="00491669">
              <w:rPr>
                <w:b/>
                <w:bCs/>
                <w:i/>
                <w:iCs/>
                <w:sz w:val="22"/>
                <w:szCs w:val="22"/>
              </w:rPr>
              <w:t xml:space="preserve">, г. Москва, </w:t>
            </w:r>
            <w:r w:rsidR="00C225C9" w:rsidRPr="00491669">
              <w:rPr>
                <w:b/>
                <w:bCs/>
                <w:i/>
                <w:iCs/>
                <w:sz w:val="22"/>
                <w:szCs w:val="22"/>
              </w:rPr>
              <w:t>Ленинградский проспект</w:t>
            </w:r>
            <w:r w:rsidRPr="00491669">
              <w:rPr>
                <w:b/>
                <w:bCs/>
                <w:i/>
                <w:iCs/>
                <w:sz w:val="22"/>
                <w:szCs w:val="22"/>
              </w:rPr>
              <w:t>, д.</w:t>
            </w:r>
            <w:r w:rsidR="00C225C9" w:rsidRPr="00491669">
              <w:rPr>
                <w:b/>
                <w:bCs/>
                <w:i/>
                <w:iCs/>
                <w:sz w:val="22"/>
                <w:szCs w:val="22"/>
              </w:rPr>
              <w:t>20, стр</w:t>
            </w:r>
            <w:r w:rsidRPr="00491669">
              <w:rPr>
                <w:b/>
                <w:bCs/>
                <w:i/>
                <w:iCs/>
                <w:sz w:val="22"/>
                <w:szCs w:val="22"/>
              </w:rPr>
              <w:t>.</w:t>
            </w:r>
            <w:r w:rsidR="00C225C9" w:rsidRPr="00491669">
              <w:rPr>
                <w:b/>
                <w:bCs/>
                <w:i/>
                <w:iCs/>
                <w:sz w:val="22"/>
                <w:szCs w:val="22"/>
              </w:rPr>
              <w:t>1</w:t>
            </w:r>
          </w:p>
        </w:tc>
      </w:tr>
      <w:tr w:rsidR="00AF7682" w:rsidRPr="00491669" w:rsidTr="006E7CC9">
        <w:tc>
          <w:tcPr>
            <w:tcW w:w="4962" w:type="dxa"/>
            <w:tcBorders>
              <w:top w:val="single" w:sz="4" w:space="0" w:color="auto"/>
              <w:left w:val="single" w:sz="4" w:space="0" w:color="auto"/>
              <w:bottom w:val="single" w:sz="4" w:space="0" w:color="auto"/>
              <w:right w:val="single" w:sz="4" w:space="0" w:color="auto"/>
            </w:tcBorders>
            <w:vAlign w:val="center"/>
          </w:tcPr>
          <w:p w:rsidR="00AF7682" w:rsidRPr="00491669" w:rsidRDefault="00AF7682" w:rsidP="008E7E44">
            <w:pPr>
              <w:ind w:left="57" w:right="57"/>
              <w:rPr>
                <w:sz w:val="22"/>
                <w:szCs w:val="22"/>
              </w:rPr>
            </w:pPr>
            <w:r w:rsidRPr="00491669">
              <w:rPr>
                <w:snapToGrid w:val="0"/>
                <w:color w:val="000000"/>
                <w:sz w:val="22"/>
                <w:szCs w:val="22"/>
              </w:rPr>
              <w:t>1.4. ОГРН эмитента</w:t>
            </w:r>
          </w:p>
        </w:tc>
        <w:tc>
          <w:tcPr>
            <w:tcW w:w="5528" w:type="dxa"/>
            <w:tcBorders>
              <w:top w:val="single" w:sz="4" w:space="0" w:color="auto"/>
              <w:left w:val="single" w:sz="4" w:space="0" w:color="auto"/>
              <w:bottom w:val="single" w:sz="4" w:space="0" w:color="auto"/>
              <w:right w:val="single" w:sz="4" w:space="0" w:color="auto"/>
            </w:tcBorders>
          </w:tcPr>
          <w:p w:rsidR="00AF7682" w:rsidRPr="00491669" w:rsidRDefault="00C225C9" w:rsidP="00690348">
            <w:pPr>
              <w:ind w:left="57"/>
              <w:jc w:val="center"/>
              <w:rPr>
                <w:b/>
                <w:bCs/>
                <w:i/>
                <w:iCs/>
                <w:sz w:val="22"/>
                <w:szCs w:val="22"/>
              </w:rPr>
            </w:pPr>
            <w:r w:rsidRPr="00491669">
              <w:rPr>
                <w:b/>
                <w:bCs/>
                <w:i/>
                <w:iCs/>
                <w:sz w:val="22"/>
                <w:szCs w:val="22"/>
              </w:rPr>
              <w:t>1147746431469</w:t>
            </w:r>
          </w:p>
        </w:tc>
      </w:tr>
      <w:tr w:rsidR="00AF7682" w:rsidRPr="00491669" w:rsidTr="006E7CC9">
        <w:tc>
          <w:tcPr>
            <w:tcW w:w="4962" w:type="dxa"/>
            <w:tcBorders>
              <w:top w:val="single" w:sz="4" w:space="0" w:color="auto"/>
              <w:left w:val="single" w:sz="4" w:space="0" w:color="auto"/>
              <w:bottom w:val="single" w:sz="4" w:space="0" w:color="auto"/>
              <w:right w:val="single" w:sz="4" w:space="0" w:color="auto"/>
            </w:tcBorders>
            <w:vAlign w:val="center"/>
          </w:tcPr>
          <w:p w:rsidR="00AF7682" w:rsidRPr="00491669" w:rsidRDefault="00AF7682" w:rsidP="008E7E44">
            <w:pPr>
              <w:ind w:left="57" w:right="57"/>
              <w:rPr>
                <w:sz w:val="22"/>
                <w:szCs w:val="22"/>
              </w:rPr>
            </w:pPr>
            <w:r w:rsidRPr="00491669">
              <w:rPr>
                <w:sz w:val="22"/>
                <w:szCs w:val="22"/>
              </w:rPr>
              <w:t>1.5. ИНН эмитента</w:t>
            </w:r>
          </w:p>
        </w:tc>
        <w:tc>
          <w:tcPr>
            <w:tcW w:w="5528" w:type="dxa"/>
            <w:tcBorders>
              <w:top w:val="single" w:sz="4" w:space="0" w:color="auto"/>
              <w:left w:val="single" w:sz="4" w:space="0" w:color="auto"/>
              <w:bottom w:val="single" w:sz="4" w:space="0" w:color="auto"/>
              <w:right w:val="single" w:sz="4" w:space="0" w:color="auto"/>
            </w:tcBorders>
          </w:tcPr>
          <w:p w:rsidR="00AF7682" w:rsidRPr="00491669" w:rsidRDefault="00C225C9" w:rsidP="00690348">
            <w:pPr>
              <w:ind w:left="57"/>
              <w:jc w:val="center"/>
              <w:rPr>
                <w:b/>
                <w:bCs/>
                <w:i/>
                <w:iCs/>
                <w:sz w:val="22"/>
                <w:szCs w:val="22"/>
              </w:rPr>
            </w:pPr>
            <w:r w:rsidRPr="00491669">
              <w:rPr>
                <w:b/>
                <w:bCs/>
                <w:i/>
                <w:iCs/>
                <w:sz w:val="22"/>
                <w:szCs w:val="22"/>
              </w:rPr>
              <w:t>7714933728</w:t>
            </w:r>
          </w:p>
        </w:tc>
      </w:tr>
      <w:tr w:rsidR="00AF7682" w:rsidRPr="00491669" w:rsidTr="006E7CC9">
        <w:tc>
          <w:tcPr>
            <w:tcW w:w="4962" w:type="dxa"/>
            <w:tcBorders>
              <w:top w:val="single" w:sz="4" w:space="0" w:color="auto"/>
              <w:left w:val="single" w:sz="4" w:space="0" w:color="auto"/>
              <w:bottom w:val="single" w:sz="4" w:space="0" w:color="auto"/>
              <w:right w:val="single" w:sz="4" w:space="0" w:color="auto"/>
            </w:tcBorders>
            <w:vAlign w:val="center"/>
          </w:tcPr>
          <w:p w:rsidR="00AF7682" w:rsidRPr="00491669" w:rsidRDefault="00AF7682" w:rsidP="008E7E44">
            <w:pPr>
              <w:ind w:left="57" w:right="57"/>
              <w:rPr>
                <w:sz w:val="22"/>
                <w:szCs w:val="22"/>
              </w:rPr>
            </w:pPr>
            <w:r w:rsidRPr="00491669">
              <w:rPr>
                <w:snapToGrid w:val="0"/>
                <w:color w:val="000000"/>
                <w:sz w:val="22"/>
                <w:szCs w:val="22"/>
              </w:rPr>
              <w:t>1.6. Уникальный код эмитента, присвоенный регистрирующим органом</w:t>
            </w:r>
          </w:p>
        </w:tc>
        <w:tc>
          <w:tcPr>
            <w:tcW w:w="5528" w:type="dxa"/>
            <w:tcBorders>
              <w:top w:val="single" w:sz="4" w:space="0" w:color="auto"/>
              <w:left w:val="single" w:sz="4" w:space="0" w:color="auto"/>
              <w:bottom w:val="single" w:sz="4" w:space="0" w:color="auto"/>
              <w:right w:val="single" w:sz="4" w:space="0" w:color="auto"/>
            </w:tcBorders>
          </w:tcPr>
          <w:p w:rsidR="00AF7682" w:rsidRPr="00491669" w:rsidRDefault="00C225C9" w:rsidP="00690348">
            <w:pPr>
              <w:ind w:left="57"/>
              <w:jc w:val="center"/>
              <w:rPr>
                <w:b/>
                <w:bCs/>
                <w:i/>
                <w:iCs/>
                <w:sz w:val="22"/>
                <w:szCs w:val="22"/>
              </w:rPr>
            </w:pPr>
            <w:r w:rsidRPr="00491669">
              <w:rPr>
                <w:b/>
                <w:bCs/>
                <w:i/>
                <w:iCs/>
                <w:sz w:val="22"/>
                <w:szCs w:val="22"/>
              </w:rPr>
              <w:t>15857-A</w:t>
            </w:r>
          </w:p>
        </w:tc>
      </w:tr>
      <w:tr w:rsidR="00AF7682" w:rsidRPr="00491669" w:rsidTr="006E7CC9">
        <w:tc>
          <w:tcPr>
            <w:tcW w:w="4962" w:type="dxa"/>
            <w:tcBorders>
              <w:top w:val="single" w:sz="4" w:space="0" w:color="auto"/>
              <w:left w:val="single" w:sz="4" w:space="0" w:color="auto"/>
              <w:bottom w:val="single" w:sz="4" w:space="0" w:color="auto"/>
              <w:right w:val="single" w:sz="4" w:space="0" w:color="auto"/>
            </w:tcBorders>
            <w:vAlign w:val="center"/>
          </w:tcPr>
          <w:p w:rsidR="00AF7682" w:rsidRPr="00491669" w:rsidRDefault="00AF7682" w:rsidP="008E7E44">
            <w:pPr>
              <w:ind w:left="57" w:right="57"/>
              <w:rPr>
                <w:sz w:val="22"/>
                <w:szCs w:val="22"/>
              </w:rPr>
            </w:pPr>
            <w:r w:rsidRPr="00491669">
              <w:rPr>
                <w:snapToGrid w:val="0"/>
                <w:color w:val="000000"/>
                <w:sz w:val="22"/>
                <w:szCs w:val="22"/>
              </w:rPr>
              <w:t>1.7. Адрес страницы в сети Интернет, используемой эмитентом для раскрытия информации</w:t>
            </w:r>
          </w:p>
        </w:tc>
        <w:tc>
          <w:tcPr>
            <w:tcW w:w="5528" w:type="dxa"/>
            <w:tcBorders>
              <w:top w:val="single" w:sz="4" w:space="0" w:color="auto"/>
              <w:left w:val="single" w:sz="4" w:space="0" w:color="auto"/>
              <w:bottom w:val="single" w:sz="4" w:space="0" w:color="auto"/>
              <w:right w:val="single" w:sz="4" w:space="0" w:color="auto"/>
            </w:tcBorders>
          </w:tcPr>
          <w:p w:rsidR="00AF7682" w:rsidRPr="00491669" w:rsidRDefault="00580EAE" w:rsidP="00690348">
            <w:pPr>
              <w:widowControl w:val="0"/>
              <w:overflowPunct w:val="0"/>
              <w:adjustRightInd w:val="0"/>
              <w:ind w:left="57"/>
              <w:jc w:val="center"/>
              <w:textAlignment w:val="baseline"/>
              <w:rPr>
                <w:b/>
                <w:bCs/>
                <w:i/>
                <w:iCs/>
                <w:sz w:val="22"/>
                <w:szCs w:val="22"/>
              </w:rPr>
            </w:pPr>
            <w:r w:rsidRPr="00491669">
              <w:rPr>
                <w:b/>
                <w:bCs/>
                <w:i/>
                <w:iCs/>
                <w:sz w:val="22"/>
                <w:szCs w:val="22"/>
              </w:rPr>
              <w:t>http://disclosure.skrin.ru/disclosure/7714933728, http://www.invest-development.ru/</w:t>
            </w:r>
          </w:p>
        </w:tc>
      </w:tr>
    </w:tbl>
    <w:p w:rsidR="008E7E44" w:rsidRPr="00491669" w:rsidRDefault="008E7E44" w:rsidP="00230960">
      <w:pPr>
        <w:jc w:val="center"/>
        <w:rPr>
          <w:b/>
          <w:bCs/>
          <w:sz w:val="22"/>
          <w:szCs w:val="22"/>
        </w:rPr>
      </w:pPr>
    </w:p>
    <w:tbl>
      <w:tblPr>
        <w:tblW w:w="10508" w:type="dxa"/>
        <w:jc w:val="center"/>
        <w:tblInd w:w="-117" w:type="dxa"/>
        <w:tblBorders>
          <w:top w:val="single" w:sz="4" w:space="0" w:color="auto"/>
          <w:left w:val="single" w:sz="4" w:space="0" w:color="auto"/>
          <w:bottom w:val="single" w:sz="4" w:space="0" w:color="auto"/>
          <w:right w:val="single" w:sz="4" w:space="0" w:color="auto"/>
        </w:tblBorders>
        <w:tblLook w:val="01E0"/>
      </w:tblPr>
      <w:tblGrid>
        <w:gridCol w:w="10508"/>
      </w:tblGrid>
      <w:tr w:rsidR="00CE64D4" w:rsidRPr="00491669" w:rsidTr="00172A77">
        <w:trPr>
          <w:jc w:val="center"/>
        </w:trPr>
        <w:tc>
          <w:tcPr>
            <w:tcW w:w="10508" w:type="dxa"/>
            <w:tcBorders>
              <w:top w:val="single" w:sz="4" w:space="0" w:color="auto"/>
              <w:left w:val="single" w:sz="4" w:space="0" w:color="auto"/>
              <w:bottom w:val="single" w:sz="4" w:space="0" w:color="auto"/>
              <w:right w:val="single" w:sz="4" w:space="0" w:color="auto"/>
            </w:tcBorders>
          </w:tcPr>
          <w:p w:rsidR="00CE64D4" w:rsidRPr="00491669" w:rsidRDefault="00CE64D4" w:rsidP="00BD21EA">
            <w:pPr>
              <w:pStyle w:val="a3"/>
              <w:tabs>
                <w:tab w:val="clear" w:pos="4677"/>
                <w:tab w:val="clear" w:pos="9355"/>
              </w:tabs>
              <w:jc w:val="center"/>
              <w:rPr>
                <w:sz w:val="22"/>
                <w:szCs w:val="22"/>
                <w:lang w:val="en-US"/>
              </w:rPr>
            </w:pPr>
            <w:r w:rsidRPr="00491669">
              <w:rPr>
                <w:sz w:val="22"/>
                <w:szCs w:val="22"/>
              </w:rPr>
              <w:t>2. Содержание сообщения</w:t>
            </w:r>
          </w:p>
        </w:tc>
      </w:tr>
      <w:tr w:rsidR="000F15CE" w:rsidRPr="00491669" w:rsidTr="00172A77">
        <w:trPr>
          <w:jc w:val="center"/>
        </w:trPr>
        <w:tc>
          <w:tcPr>
            <w:tcW w:w="10508" w:type="dxa"/>
            <w:tcBorders>
              <w:top w:val="single" w:sz="4" w:space="0" w:color="auto"/>
              <w:left w:val="single" w:sz="4" w:space="0" w:color="auto"/>
              <w:bottom w:val="single" w:sz="4" w:space="0" w:color="auto"/>
              <w:right w:val="single" w:sz="4" w:space="0" w:color="auto"/>
            </w:tcBorders>
          </w:tcPr>
          <w:p w:rsidR="00A63E85" w:rsidRPr="00491669" w:rsidRDefault="000F15CE" w:rsidP="00A63E85">
            <w:pPr>
              <w:pStyle w:val="a3"/>
              <w:jc w:val="center"/>
              <w:rPr>
                <w:sz w:val="22"/>
                <w:szCs w:val="22"/>
              </w:rPr>
            </w:pPr>
            <w:r w:rsidRPr="00491669">
              <w:rPr>
                <w:sz w:val="22"/>
                <w:szCs w:val="22"/>
              </w:rPr>
              <w:t>«</w:t>
            </w:r>
            <w:r w:rsidR="00A63E85" w:rsidRPr="00491669">
              <w:rPr>
                <w:sz w:val="22"/>
                <w:szCs w:val="22"/>
              </w:rPr>
              <w:t>Об одобрении сделок, признаваемых в соответствии с законодательством Российской Федерации крупными</w:t>
            </w:r>
          </w:p>
          <w:p w:rsidR="000F15CE" w:rsidRPr="00491669" w:rsidRDefault="00A63E85" w:rsidP="00A63E85">
            <w:pPr>
              <w:pStyle w:val="a3"/>
              <w:tabs>
                <w:tab w:val="clear" w:pos="4677"/>
                <w:tab w:val="clear" w:pos="9355"/>
              </w:tabs>
              <w:jc w:val="center"/>
              <w:rPr>
                <w:sz w:val="22"/>
                <w:szCs w:val="22"/>
              </w:rPr>
            </w:pPr>
            <w:r w:rsidRPr="00491669">
              <w:rPr>
                <w:sz w:val="22"/>
                <w:szCs w:val="22"/>
              </w:rPr>
              <w:t>сделками и (или) сделками, в совершении которых имеется заинтересованность</w:t>
            </w:r>
            <w:r w:rsidR="000F15CE" w:rsidRPr="00491669">
              <w:rPr>
                <w:sz w:val="22"/>
                <w:szCs w:val="22"/>
              </w:rPr>
              <w:t>»</w:t>
            </w:r>
          </w:p>
        </w:tc>
      </w:tr>
      <w:tr w:rsidR="00692A2E" w:rsidRPr="00491669" w:rsidTr="00172A77">
        <w:trPr>
          <w:trHeight w:val="1265"/>
          <w:jc w:val="center"/>
        </w:trPr>
        <w:tc>
          <w:tcPr>
            <w:tcW w:w="10508" w:type="dxa"/>
            <w:tcBorders>
              <w:left w:val="single" w:sz="4" w:space="0" w:color="auto"/>
              <w:right w:val="single" w:sz="4" w:space="0" w:color="auto"/>
            </w:tcBorders>
            <w:vAlign w:val="bottom"/>
          </w:tcPr>
          <w:p w:rsidR="00DA2BB9" w:rsidRPr="00491669" w:rsidRDefault="00DA2BB9" w:rsidP="00DB70FD">
            <w:pPr>
              <w:numPr>
                <w:ilvl w:val="0"/>
                <w:numId w:val="22"/>
              </w:numPr>
              <w:spacing w:line="276" w:lineRule="auto"/>
              <w:jc w:val="both"/>
              <w:rPr>
                <w:color w:val="000000"/>
                <w:sz w:val="22"/>
                <w:szCs w:val="22"/>
              </w:rPr>
            </w:pPr>
            <w:r w:rsidRPr="00491669">
              <w:rPr>
                <w:sz w:val="22"/>
                <w:szCs w:val="22"/>
              </w:rPr>
              <w:t>К</w:t>
            </w:r>
            <w:r w:rsidR="00A63E85" w:rsidRPr="00491669">
              <w:rPr>
                <w:sz w:val="22"/>
                <w:szCs w:val="22"/>
              </w:rPr>
              <w:t>ворум заседания совета директоров (наблюдательного совета) эмитента и результаты голосования по вопросам о принятии решений</w:t>
            </w:r>
            <w:r w:rsidRPr="00491669">
              <w:rPr>
                <w:sz w:val="22"/>
                <w:szCs w:val="22"/>
              </w:rPr>
              <w:t>:</w:t>
            </w:r>
            <w:r w:rsidRPr="00491669">
              <w:rPr>
                <w:b/>
                <w:bCs/>
                <w:i/>
                <w:iCs/>
                <w:color w:val="000000"/>
                <w:sz w:val="22"/>
                <w:szCs w:val="22"/>
              </w:rPr>
              <w:t xml:space="preserve"> Бюллетени для заочного голосования получены в установленный срок от 5 членов Совета директоров, из них: действительных – 5, недействительных – 0. Кворум для проведения заседания Совета директоров ПАО «ИНВЕСТ-ДЕВЕЛОПМЕНТ» имеется. </w:t>
            </w:r>
          </w:p>
          <w:p w:rsidR="00DA2BB9" w:rsidRPr="00491669" w:rsidRDefault="00DA2BB9" w:rsidP="00DA2BB9">
            <w:pPr>
              <w:pStyle w:val="af9"/>
              <w:ind w:left="611"/>
              <w:jc w:val="both"/>
              <w:rPr>
                <w:color w:val="000000"/>
                <w:sz w:val="22"/>
                <w:szCs w:val="22"/>
              </w:rPr>
            </w:pPr>
            <w:r w:rsidRPr="00491669">
              <w:rPr>
                <w:b/>
                <w:bCs/>
                <w:i/>
                <w:iCs/>
                <w:color w:val="000000"/>
                <w:sz w:val="22"/>
                <w:szCs w:val="22"/>
              </w:rPr>
              <w:t xml:space="preserve">«За» голосовали: 5 </w:t>
            </w:r>
          </w:p>
          <w:p w:rsidR="00A63E85" w:rsidRPr="00491669" w:rsidRDefault="00DA2BB9" w:rsidP="00DA2BB9">
            <w:pPr>
              <w:pStyle w:val="af9"/>
              <w:ind w:left="611"/>
              <w:jc w:val="both"/>
              <w:rPr>
                <w:sz w:val="22"/>
                <w:szCs w:val="22"/>
              </w:rPr>
            </w:pPr>
            <w:r w:rsidRPr="00491669">
              <w:rPr>
                <w:b/>
                <w:bCs/>
                <w:i/>
                <w:iCs/>
                <w:color w:val="000000"/>
                <w:sz w:val="22"/>
                <w:szCs w:val="22"/>
              </w:rPr>
              <w:t>«Против» голосовали: 0</w:t>
            </w:r>
          </w:p>
          <w:p w:rsidR="00DB70FD" w:rsidRPr="00491669" w:rsidRDefault="00DA2BB9" w:rsidP="00DB70FD">
            <w:pPr>
              <w:numPr>
                <w:ilvl w:val="0"/>
                <w:numId w:val="22"/>
              </w:numPr>
              <w:spacing w:line="276" w:lineRule="auto"/>
              <w:jc w:val="both"/>
              <w:rPr>
                <w:sz w:val="22"/>
                <w:szCs w:val="22"/>
              </w:rPr>
            </w:pPr>
            <w:r w:rsidRPr="00491669">
              <w:rPr>
                <w:sz w:val="22"/>
                <w:szCs w:val="22"/>
              </w:rPr>
              <w:t>С</w:t>
            </w:r>
            <w:r w:rsidR="00A63E85" w:rsidRPr="00491669">
              <w:rPr>
                <w:sz w:val="22"/>
                <w:szCs w:val="22"/>
              </w:rPr>
              <w:t>одержание решений,</w:t>
            </w:r>
            <w:r w:rsidRPr="00491669">
              <w:rPr>
                <w:sz w:val="22"/>
                <w:szCs w:val="22"/>
              </w:rPr>
              <w:t xml:space="preserve"> </w:t>
            </w:r>
            <w:r w:rsidR="00A63E85" w:rsidRPr="00491669">
              <w:rPr>
                <w:sz w:val="22"/>
                <w:szCs w:val="22"/>
              </w:rPr>
              <w:t>принятых советом директоров (наблюдательным советом) эмитента</w:t>
            </w:r>
            <w:r w:rsidRPr="00491669">
              <w:rPr>
                <w:sz w:val="22"/>
                <w:szCs w:val="22"/>
              </w:rPr>
              <w:t>:</w:t>
            </w:r>
            <w:r w:rsidR="00DB70FD" w:rsidRPr="00491669">
              <w:rPr>
                <w:sz w:val="22"/>
                <w:szCs w:val="22"/>
              </w:rPr>
              <w:t xml:space="preserve"> </w:t>
            </w:r>
          </w:p>
          <w:p w:rsidR="00DB70FD" w:rsidRPr="00491669" w:rsidRDefault="00DB70FD" w:rsidP="00DB70FD">
            <w:pPr>
              <w:spacing w:line="276" w:lineRule="auto"/>
              <w:ind w:left="360"/>
              <w:jc w:val="both"/>
              <w:rPr>
                <w:sz w:val="22"/>
                <w:szCs w:val="22"/>
              </w:rPr>
            </w:pPr>
            <w:r w:rsidRPr="00491669">
              <w:rPr>
                <w:b/>
                <w:i/>
                <w:sz w:val="22"/>
                <w:szCs w:val="22"/>
              </w:rPr>
              <w:t xml:space="preserve">Одобрить в соответствии ст.79 Федерального закона от 26.12.1995 г. № 208-ФЗ «Об акционерных обществах» совершение Публичным акционерным обществом «ИНВЕСТ-ДЕВЕЛОПМЕНТ» крупной сделки (в виде нескольких взаимосвязанных сделок), связанной с размещением биржевых облигаций процентных неконвертируемых документарных на предъявителя с обязательным централизованным хранением серии БО-01 в количестве 700 000 (Семьсот тысяч) штук, номинальной стоимостью 1 000 (Одна тысяча) рублей каждая общей номинальной стоимостью 700 000 000 (Семьсот миллионов) рублей со сроком погашения в 3 640-й (Три тысячи шестьсот сороковой) день с даты начала размещения биржевых облигаций, размещаемых путем открытой подписки, с возможностью досрочного погашения по требованию владельцев и по усмотрению эмитента (далее – «Биржевые облигации»). </w:t>
            </w:r>
          </w:p>
          <w:p w:rsidR="00DB70FD" w:rsidRPr="00491669" w:rsidRDefault="00DB70FD" w:rsidP="00DB70FD">
            <w:pPr>
              <w:adjustRightInd w:val="0"/>
              <w:jc w:val="both"/>
              <w:rPr>
                <w:b/>
                <w:i/>
                <w:sz w:val="22"/>
                <w:szCs w:val="22"/>
              </w:rPr>
            </w:pPr>
          </w:p>
          <w:p w:rsidR="00DB70FD" w:rsidRPr="00491669" w:rsidRDefault="00DB70FD" w:rsidP="00DB70FD">
            <w:pPr>
              <w:pStyle w:val="af6"/>
              <w:ind w:left="426"/>
              <w:rPr>
                <w:b/>
                <w:i/>
                <w:sz w:val="22"/>
                <w:szCs w:val="22"/>
                <w:lang w:val="ru-RU"/>
              </w:rPr>
            </w:pPr>
            <w:r w:rsidRPr="00491669">
              <w:rPr>
                <w:b/>
                <w:i/>
                <w:sz w:val="22"/>
                <w:szCs w:val="22"/>
                <w:lang w:val="ru-RU"/>
              </w:rPr>
              <w:t>Стороны сделки:</w:t>
            </w:r>
          </w:p>
          <w:p w:rsidR="00DB70FD" w:rsidRPr="00491669" w:rsidRDefault="00DB70FD" w:rsidP="00DB70FD">
            <w:pPr>
              <w:pStyle w:val="af6"/>
              <w:ind w:left="426"/>
              <w:rPr>
                <w:b/>
                <w:i/>
                <w:sz w:val="22"/>
                <w:szCs w:val="22"/>
                <w:lang w:val="ru-RU"/>
              </w:rPr>
            </w:pPr>
            <w:r w:rsidRPr="00491669">
              <w:rPr>
                <w:b/>
                <w:i/>
                <w:sz w:val="22"/>
                <w:szCs w:val="22"/>
                <w:lang w:val="ru-RU"/>
              </w:rPr>
              <w:t>- Эмитент Биржевых облигаций – ПАО «ИНВЕСТ-ДЕВЕЛОПМЕНТ»;</w:t>
            </w:r>
          </w:p>
          <w:p w:rsidR="00DB70FD" w:rsidRPr="00491669" w:rsidRDefault="00DB70FD" w:rsidP="00DB70FD">
            <w:pPr>
              <w:pStyle w:val="af6"/>
              <w:ind w:left="426"/>
              <w:rPr>
                <w:b/>
                <w:i/>
                <w:sz w:val="22"/>
                <w:szCs w:val="22"/>
                <w:lang w:val="ru-RU"/>
              </w:rPr>
            </w:pPr>
            <w:r w:rsidRPr="00491669">
              <w:rPr>
                <w:b/>
                <w:i/>
                <w:sz w:val="22"/>
                <w:szCs w:val="22"/>
                <w:lang w:val="ru-RU"/>
              </w:rPr>
              <w:t>- физические и юридические лица – владельцы Биржевых облигаций Эмитента.</w:t>
            </w:r>
          </w:p>
          <w:p w:rsidR="00DB70FD" w:rsidRPr="00491669" w:rsidRDefault="00DB70FD" w:rsidP="00DB70FD">
            <w:pPr>
              <w:pStyle w:val="af6"/>
              <w:ind w:left="426"/>
              <w:rPr>
                <w:b/>
                <w:i/>
                <w:iCs/>
                <w:color w:val="000000"/>
                <w:sz w:val="22"/>
                <w:szCs w:val="22"/>
                <w:lang w:val="ru-RU"/>
              </w:rPr>
            </w:pPr>
          </w:p>
          <w:p w:rsidR="00DB70FD" w:rsidRPr="00491669" w:rsidRDefault="00DB70FD" w:rsidP="00DB70FD">
            <w:pPr>
              <w:pStyle w:val="af6"/>
              <w:ind w:left="426"/>
              <w:rPr>
                <w:b/>
                <w:i/>
                <w:iCs/>
                <w:color w:val="000000"/>
                <w:sz w:val="22"/>
                <w:szCs w:val="22"/>
                <w:lang w:val="ru-RU"/>
              </w:rPr>
            </w:pPr>
            <w:r w:rsidRPr="00491669">
              <w:rPr>
                <w:b/>
                <w:i/>
                <w:iCs/>
                <w:color w:val="000000"/>
                <w:sz w:val="22"/>
                <w:szCs w:val="22"/>
                <w:lang w:val="ru-RU"/>
              </w:rPr>
              <w:t>Цена сделки</w:t>
            </w:r>
          </w:p>
          <w:p w:rsidR="00DB70FD" w:rsidRPr="00491669" w:rsidRDefault="00DB70FD" w:rsidP="00DB70FD">
            <w:pPr>
              <w:pStyle w:val="af6"/>
              <w:ind w:left="426"/>
              <w:rPr>
                <w:b/>
                <w:i/>
                <w:sz w:val="22"/>
                <w:szCs w:val="22"/>
                <w:lang w:val="ru-RU"/>
              </w:rPr>
            </w:pPr>
          </w:p>
          <w:p w:rsidR="00DB70FD" w:rsidRPr="00491669" w:rsidRDefault="00DB70FD" w:rsidP="00DB70FD">
            <w:pPr>
              <w:pStyle w:val="af6"/>
              <w:ind w:left="426"/>
              <w:rPr>
                <w:b/>
                <w:i/>
                <w:sz w:val="22"/>
                <w:szCs w:val="22"/>
                <w:lang w:val="ru-RU"/>
              </w:rPr>
            </w:pPr>
            <w:r w:rsidRPr="00491669">
              <w:rPr>
                <w:b/>
                <w:i/>
                <w:sz w:val="22"/>
                <w:szCs w:val="22"/>
                <w:lang w:val="ru-RU"/>
              </w:rPr>
              <w:t>700 000 000 (Семьсот миллионов) рублей и совокупный купонный доход по 700 000 (Семистам тысячам) штук Биржевых облигаций, выплачиваемый за весь период обращения Биржевых облигаций. Размер купонного дохода (процентная ставка купона) определяется ПАО «ИНВЕСТ-ДЕВЕЛОПМЕНТ» в порядке и на условиях, предусмотренных Решением о выпуске ценных бумаг и Проспектом ценных бумаг.</w:t>
            </w:r>
          </w:p>
          <w:p w:rsidR="00DB70FD" w:rsidRPr="00491669" w:rsidRDefault="00DB70FD" w:rsidP="00DB70FD">
            <w:pPr>
              <w:jc w:val="both"/>
              <w:rPr>
                <w:b/>
                <w:i/>
                <w:sz w:val="22"/>
                <w:szCs w:val="22"/>
              </w:rPr>
            </w:pPr>
          </w:p>
          <w:p w:rsidR="00DB70FD" w:rsidRPr="00491669" w:rsidRDefault="00DB70FD" w:rsidP="00DB70FD">
            <w:pPr>
              <w:pStyle w:val="af6"/>
              <w:ind w:left="426"/>
              <w:rPr>
                <w:b/>
                <w:i/>
                <w:sz w:val="22"/>
                <w:szCs w:val="22"/>
                <w:lang w:val="ru-RU"/>
              </w:rPr>
            </w:pPr>
            <w:r w:rsidRPr="00491669">
              <w:rPr>
                <w:b/>
                <w:i/>
                <w:sz w:val="22"/>
                <w:szCs w:val="22"/>
                <w:lang w:val="ru-RU"/>
              </w:rPr>
              <w:t>Предмет сделки и иные существенные условия: размещение по открытой подписке Биржевых облигаций.</w:t>
            </w:r>
          </w:p>
          <w:p w:rsidR="00DB70FD" w:rsidRPr="00491669" w:rsidRDefault="00DB70FD" w:rsidP="00DB70FD">
            <w:pPr>
              <w:jc w:val="both"/>
              <w:rPr>
                <w:b/>
                <w:i/>
                <w:sz w:val="22"/>
                <w:szCs w:val="22"/>
              </w:rPr>
            </w:pPr>
          </w:p>
          <w:p w:rsidR="00DB70FD" w:rsidRPr="00491669" w:rsidRDefault="00DB70FD" w:rsidP="00DB70FD">
            <w:pPr>
              <w:pStyle w:val="af6"/>
              <w:ind w:left="426"/>
              <w:rPr>
                <w:b/>
                <w:i/>
                <w:sz w:val="22"/>
                <w:szCs w:val="22"/>
                <w:lang w:val="ru-RU"/>
              </w:rPr>
            </w:pPr>
            <w:r w:rsidRPr="00491669">
              <w:rPr>
                <w:b/>
                <w:i/>
                <w:sz w:val="22"/>
                <w:szCs w:val="22"/>
                <w:lang w:val="ru-RU"/>
              </w:rPr>
              <w:t xml:space="preserve">Цена размещения Биржевых облигаций устанавливается равной в первый и последующие дни размещения  в размере 100% (Сто процентов) от номинальной стоимости Биржевых облигаций, </w:t>
            </w:r>
            <w:r w:rsidRPr="00491669">
              <w:rPr>
                <w:b/>
                <w:i/>
                <w:sz w:val="22"/>
                <w:szCs w:val="22"/>
                <w:lang w:val="ru-RU"/>
              </w:rPr>
              <w:lastRenderedPageBreak/>
              <w:t>что составляет 1000 (Одну тысячу) рублей за одну Биржевую облигацию.</w:t>
            </w:r>
          </w:p>
          <w:p w:rsidR="00DB70FD" w:rsidRPr="00491669" w:rsidRDefault="00DB70FD" w:rsidP="00DB70FD">
            <w:pPr>
              <w:jc w:val="both"/>
              <w:rPr>
                <w:b/>
                <w:i/>
                <w:sz w:val="22"/>
                <w:szCs w:val="22"/>
              </w:rPr>
            </w:pPr>
          </w:p>
          <w:p w:rsidR="00DB70FD" w:rsidRPr="00491669" w:rsidRDefault="00DB70FD" w:rsidP="00DB70FD">
            <w:pPr>
              <w:pStyle w:val="af6"/>
              <w:ind w:left="426"/>
              <w:rPr>
                <w:b/>
                <w:i/>
                <w:sz w:val="22"/>
                <w:szCs w:val="22"/>
                <w:lang w:val="ru-RU"/>
              </w:rPr>
            </w:pPr>
            <w:r w:rsidRPr="00491669">
              <w:rPr>
                <w:b/>
                <w:i/>
                <w:sz w:val="22"/>
                <w:szCs w:val="22"/>
                <w:lang w:val="ru-RU"/>
              </w:rPr>
              <w:t>Начиная со второго дня размещения Биржевых облигаций, покупатель при совершении сделки купли-продажи Биржевых облигаций также уплачивает накопленный купонный доход (НКД) по Биржевым облигациям, определяемый по следующей формуле:</w:t>
            </w:r>
          </w:p>
          <w:p w:rsidR="00DB70FD" w:rsidRPr="00491669" w:rsidRDefault="00DB70FD" w:rsidP="00DB70FD">
            <w:pPr>
              <w:jc w:val="both"/>
              <w:rPr>
                <w:b/>
                <w:i/>
                <w:sz w:val="22"/>
                <w:szCs w:val="22"/>
              </w:rPr>
            </w:pPr>
          </w:p>
          <w:p w:rsidR="00DB70FD" w:rsidRPr="00491669" w:rsidRDefault="00DB70FD" w:rsidP="00DB70FD">
            <w:pPr>
              <w:pStyle w:val="af6"/>
              <w:ind w:left="426"/>
              <w:rPr>
                <w:b/>
                <w:i/>
                <w:sz w:val="22"/>
                <w:szCs w:val="22"/>
                <w:lang w:val="ru-RU"/>
              </w:rPr>
            </w:pPr>
            <w:r w:rsidRPr="00491669">
              <w:rPr>
                <w:b/>
                <w:i/>
                <w:sz w:val="22"/>
                <w:szCs w:val="22"/>
                <w:lang w:val="ru-RU"/>
              </w:rPr>
              <w:t xml:space="preserve">НКД = </w:t>
            </w:r>
            <w:r w:rsidRPr="00491669">
              <w:rPr>
                <w:b/>
                <w:i/>
                <w:sz w:val="22"/>
                <w:szCs w:val="22"/>
              </w:rPr>
              <w:t>Nom</w:t>
            </w:r>
            <w:r w:rsidRPr="00491669">
              <w:rPr>
                <w:b/>
                <w:i/>
                <w:sz w:val="22"/>
                <w:szCs w:val="22"/>
                <w:lang w:val="ru-RU"/>
              </w:rPr>
              <w:t xml:space="preserve"> * </w:t>
            </w:r>
            <w:r w:rsidRPr="00491669">
              <w:rPr>
                <w:b/>
                <w:i/>
                <w:sz w:val="22"/>
                <w:szCs w:val="22"/>
              </w:rPr>
              <w:t>C</w:t>
            </w:r>
            <w:r w:rsidRPr="00491669">
              <w:rPr>
                <w:b/>
                <w:i/>
                <w:sz w:val="22"/>
                <w:szCs w:val="22"/>
                <w:lang w:val="ru-RU"/>
              </w:rPr>
              <w:t>1 * (</w:t>
            </w:r>
            <w:r w:rsidRPr="00491669">
              <w:rPr>
                <w:b/>
                <w:i/>
                <w:sz w:val="22"/>
                <w:szCs w:val="22"/>
              </w:rPr>
              <w:t>T</w:t>
            </w:r>
            <w:r w:rsidRPr="00491669">
              <w:rPr>
                <w:b/>
                <w:i/>
                <w:sz w:val="22"/>
                <w:szCs w:val="22"/>
                <w:lang w:val="ru-RU"/>
              </w:rPr>
              <w:t xml:space="preserve"> - </w:t>
            </w:r>
            <w:r w:rsidRPr="00491669">
              <w:rPr>
                <w:b/>
                <w:i/>
                <w:sz w:val="22"/>
                <w:szCs w:val="22"/>
              </w:rPr>
              <w:t>T</w:t>
            </w:r>
            <w:r w:rsidRPr="00491669">
              <w:rPr>
                <w:b/>
                <w:i/>
                <w:sz w:val="22"/>
                <w:szCs w:val="22"/>
                <w:lang w:val="ru-RU"/>
              </w:rPr>
              <w:t>0) / 365/ 100%, где</w:t>
            </w:r>
          </w:p>
          <w:p w:rsidR="00DB70FD" w:rsidRPr="00491669" w:rsidRDefault="00DB70FD" w:rsidP="00DB70FD">
            <w:pPr>
              <w:pStyle w:val="af6"/>
              <w:ind w:left="426"/>
              <w:rPr>
                <w:b/>
                <w:i/>
                <w:sz w:val="22"/>
                <w:szCs w:val="22"/>
                <w:lang w:val="ru-RU"/>
              </w:rPr>
            </w:pPr>
            <w:r w:rsidRPr="00491669">
              <w:rPr>
                <w:b/>
                <w:i/>
                <w:sz w:val="22"/>
                <w:szCs w:val="22"/>
                <w:lang w:val="ru-RU"/>
              </w:rPr>
              <w:t>НКД - накопленный купонный доход, руб.</w:t>
            </w:r>
          </w:p>
          <w:p w:rsidR="00DB70FD" w:rsidRPr="00491669" w:rsidRDefault="00DB70FD" w:rsidP="00DB70FD">
            <w:pPr>
              <w:pStyle w:val="af6"/>
              <w:ind w:left="426"/>
              <w:rPr>
                <w:b/>
                <w:i/>
                <w:sz w:val="22"/>
                <w:szCs w:val="22"/>
                <w:lang w:val="ru-RU"/>
              </w:rPr>
            </w:pPr>
            <w:r w:rsidRPr="00491669">
              <w:rPr>
                <w:b/>
                <w:i/>
                <w:sz w:val="22"/>
                <w:szCs w:val="22"/>
              </w:rPr>
              <w:t>Nom</w:t>
            </w:r>
            <w:r w:rsidRPr="00491669">
              <w:rPr>
                <w:b/>
                <w:i/>
                <w:sz w:val="22"/>
                <w:szCs w:val="22"/>
                <w:lang w:val="ru-RU"/>
              </w:rPr>
              <w:t xml:space="preserve"> - номинальная стоимость одной Биржевой облигации, </w:t>
            </w:r>
            <w:proofErr w:type="gramStart"/>
            <w:r w:rsidRPr="00491669">
              <w:rPr>
                <w:b/>
                <w:i/>
                <w:sz w:val="22"/>
                <w:szCs w:val="22"/>
                <w:lang w:val="ru-RU"/>
              </w:rPr>
              <w:t>руб.;</w:t>
            </w:r>
            <w:proofErr w:type="gramEnd"/>
          </w:p>
          <w:p w:rsidR="00DB70FD" w:rsidRPr="00491669" w:rsidRDefault="00DB70FD" w:rsidP="00DB70FD">
            <w:pPr>
              <w:pStyle w:val="af6"/>
              <w:ind w:left="426"/>
              <w:rPr>
                <w:b/>
                <w:i/>
                <w:sz w:val="22"/>
                <w:szCs w:val="22"/>
                <w:lang w:val="ru-RU"/>
              </w:rPr>
            </w:pPr>
            <w:r w:rsidRPr="00491669">
              <w:rPr>
                <w:b/>
                <w:i/>
                <w:sz w:val="22"/>
                <w:szCs w:val="22"/>
                <w:lang w:val="ru-RU"/>
              </w:rPr>
              <w:t>С1 - размер процентной ставки первого купона, в процентах годовых;</w:t>
            </w:r>
          </w:p>
          <w:p w:rsidR="00DB70FD" w:rsidRPr="00491669" w:rsidRDefault="00DB70FD" w:rsidP="00DB70FD">
            <w:pPr>
              <w:pStyle w:val="af6"/>
              <w:ind w:left="426"/>
              <w:rPr>
                <w:b/>
                <w:i/>
                <w:sz w:val="22"/>
                <w:szCs w:val="22"/>
                <w:lang w:val="ru-RU"/>
              </w:rPr>
            </w:pPr>
            <w:r w:rsidRPr="00491669">
              <w:rPr>
                <w:b/>
                <w:i/>
                <w:sz w:val="22"/>
                <w:szCs w:val="22"/>
              </w:rPr>
              <w:t>T</w:t>
            </w:r>
            <w:r w:rsidRPr="00491669">
              <w:rPr>
                <w:b/>
                <w:i/>
                <w:sz w:val="22"/>
                <w:szCs w:val="22"/>
                <w:lang w:val="ru-RU"/>
              </w:rPr>
              <w:t xml:space="preserve"> - дата размещения Биржевых облигаций;</w:t>
            </w:r>
          </w:p>
          <w:p w:rsidR="00DB70FD" w:rsidRPr="00491669" w:rsidRDefault="00DB70FD" w:rsidP="00DB70FD">
            <w:pPr>
              <w:pStyle w:val="af6"/>
              <w:ind w:left="426"/>
              <w:rPr>
                <w:b/>
                <w:i/>
                <w:sz w:val="22"/>
                <w:szCs w:val="22"/>
                <w:lang w:val="ru-RU"/>
              </w:rPr>
            </w:pPr>
            <w:r w:rsidRPr="00491669">
              <w:rPr>
                <w:b/>
                <w:i/>
                <w:sz w:val="22"/>
                <w:szCs w:val="22"/>
              </w:rPr>
              <w:t>T</w:t>
            </w:r>
            <w:r w:rsidRPr="00491669">
              <w:rPr>
                <w:b/>
                <w:i/>
                <w:sz w:val="22"/>
                <w:szCs w:val="22"/>
                <w:lang w:val="ru-RU"/>
              </w:rPr>
              <w:t>0 - дата начала размещения Биржевых облигаций</w:t>
            </w:r>
          </w:p>
          <w:p w:rsidR="00DB70FD" w:rsidRPr="00491669" w:rsidRDefault="00DB70FD" w:rsidP="00DB70FD">
            <w:pPr>
              <w:tabs>
                <w:tab w:val="left" w:pos="284"/>
                <w:tab w:val="left" w:pos="993"/>
              </w:tabs>
              <w:rPr>
                <w:b/>
                <w:i/>
                <w:sz w:val="22"/>
                <w:szCs w:val="22"/>
              </w:rPr>
            </w:pPr>
          </w:p>
          <w:p w:rsidR="00DB70FD" w:rsidRPr="00491669" w:rsidRDefault="00DB70FD" w:rsidP="00DB70FD">
            <w:pPr>
              <w:pStyle w:val="af6"/>
              <w:ind w:left="426"/>
              <w:rPr>
                <w:b/>
                <w:i/>
                <w:sz w:val="22"/>
                <w:szCs w:val="22"/>
                <w:lang w:val="ru-RU"/>
              </w:rPr>
            </w:pPr>
            <w:r w:rsidRPr="00491669">
              <w:rPr>
                <w:b/>
                <w:i/>
                <w:sz w:val="22"/>
                <w:szCs w:val="22"/>
                <w:lang w:val="ru-RU"/>
              </w:rPr>
              <w:t>Величина накопленного купонного дохода в расчете на одну Биржевую облигацию определяется с точностью до одной копейки (округление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5 - 9).</w:t>
            </w:r>
          </w:p>
          <w:p w:rsidR="00DB70FD" w:rsidRPr="00491669" w:rsidRDefault="00DB70FD" w:rsidP="00DB70FD">
            <w:pPr>
              <w:pStyle w:val="af6"/>
              <w:tabs>
                <w:tab w:val="left" w:pos="426"/>
              </w:tabs>
              <w:ind w:left="0"/>
              <w:jc w:val="both"/>
              <w:rPr>
                <w:color w:val="000000"/>
                <w:sz w:val="22"/>
                <w:szCs w:val="22"/>
                <w:lang w:val="ru-RU"/>
              </w:rPr>
            </w:pPr>
          </w:p>
          <w:p w:rsidR="00DB70FD" w:rsidRPr="00491669" w:rsidRDefault="00DB70FD" w:rsidP="00DB70FD">
            <w:pPr>
              <w:spacing w:line="276" w:lineRule="auto"/>
              <w:ind w:left="360"/>
              <w:jc w:val="both"/>
              <w:rPr>
                <w:b/>
                <w:i/>
                <w:sz w:val="22"/>
                <w:szCs w:val="22"/>
                <w:lang w:eastAsia="en-US"/>
              </w:rPr>
            </w:pPr>
            <w:r w:rsidRPr="00491669">
              <w:rPr>
                <w:b/>
                <w:i/>
                <w:sz w:val="22"/>
                <w:szCs w:val="22"/>
                <w:lang w:eastAsia="en-US"/>
              </w:rPr>
              <w:t>Иные существенные условия сделки (условия размещения Облигаций) приведены в Решении о выпуске ценных бумаг и Проспекте ценных бумаг.</w:t>
            </w:r>
          </w:p>
          <w:p w:rsidR="00A63E85" w:rsidRPr="00491669" w:rsidRDefault="00DA2BB9" w:rsidP="00DB70FD">
            <w:pPr>
              <w:numPr>
                <w:ilvl w:val="0"/>
                <w:numId w:val="22"/>
              </w:numPr>
              <w:spacing w:line="276" w:lineRule="auto"/>
              <w:jc w:val="both"/>
              <w:rPr>
                <w:sz w:val="22"/>
                <w:szCs w:val="22"/>
              </w:rPr>
            </w:pPr>
            <w:r w:rsidRPr="00491669">
              <w:rPr>
                <w:sz w:val="22"/>
                <w:szCs w:val="22"/>
              </w:rPr>
              <w:t>Д</w:t>
            </w:r>
            <w:r w:rsidR="00A63E85" w:rsidRPr="00491669">
              <w:rPr>
                <w:sz w:val="22"/>
                <w:szCs w:val="22"/>
              </w:rPr>
              <w:t>ата проведения заседания совета директоров (наблюдательного совета) эмитента, на кот</w:t>
            </w:r>
            <w:r w:rsidRPr="00491669">
              <w:rPr>
                <w:sz w:val="22"/>
                <w:szCs w:val="22"/>
              </w:rPr>
              <w:t xml:space="preserve">ором приняты </w:t>
            </w:r>
            <w:r w:rsidR="00A63E85" w:rsidRPr="00491669">
              <w:rPr>
                <w:sz w:val="22"/>
                <w:szCs w:val="22"/>
              </w:rPr>
              <w:t xml:space="preserve">соответствующие </w:t>
            </w:r>
            <w:r w:rsidR="00A63E85" w:rsidRPr="00093C93">
              <w:rPr>
                <w:sz w:val="22"/>
                <w:szCs w:val="22"/>
              </w:rPr>
              <w:t>решения</w:t>
            </w:r>
            <w:r w:rsidRPr="00093C93">
              <w:rPr>
                <w:sz w:val="22"/>
                <w:szCs w:val="22"/>
              </w:rPr>
              <w:t xml:space="preserve">: </w:t>
            </w:r>
            <w:r w:rsidR="00E11C38" w:rsidRPr="00093C93">
              <w:rPr>
                <w:b/>
                <w:bCs/>
                <w:i/>
                <w:iCs/>
                <w:sz w:val="22"/>
                <w:szCs w:val="22"/>
              </w:rPr>
              <w:t>28</w:t>
            </w:r>
            <w:r w:rsidRPr="00491669">
              <w:rPr>
                <w:b/>
                <w:bCs/>
                <w:i/>
                <w:iCs/>
                <w:sz w:val="22"/>
                <w:szCs w:val="22"/>
              </w:rPr>
              <w:t xml:space="preserve"> января 2016 г.</w:t>
            </w:r>
          </w:p>
          <w:p w:rsidR="00692A2E" w:rsidRPr="00491669" w:rsidRDefault="00DA2BB9" w:rsidP="00E11C38">
            <w:pPr>
              <w:numPr>
                <w:ilvl w:val="0"/>
                <w:numId w:val="22"/>
              </w:numPr>
              <w:spacing w:line="276" w:lineRule="auto"/>
              <w:jc w:val="both"/>
              <w:rPr>
                <w:b/>
                <w:bCs/>
                <w:i/>
                <w:iCs/>
                <w:color w:val="000000"/>
                <w:sz w:val="22"/>
                <w:szCs w:val="22"/>
              </w:rPr>
            </w:pPr>
            <w:r w:rsidRPr="00491669">
              <w:rPr>
                <w:sz w:val="22"/>
                <w:szCs w:val="22"/>
              </w:rPr>
              <w:t>Д</w:t>
            </w:r>
            <w:r w:rsidR="00A63E85" w:rsidRPr="00491669">
              <w:rPr>
                <w:sz w:val="22"/>
                <w:szCs w:val="22"/>
              </w:rPr>
              <w:t xml:space="preserve">ата составления и номер протокола заседания совета директоров (наблюдательного совета) эмитента, на котором приняты соответствующие </w:t>
            </w:r>
            <w:r w:rsidR="00A63E85" w:rsidRPr="00093C93">
              <w:rPr>
                <w:sz w:val="22"/>
                <w:szCs w:val="22"/>
              </w:rPr>
              <w:t>решения</w:t>
            </w:r>
            <w:r w:rsidRPr="00093C93">
              <w:rPr>
                <w:sz w:val="22"/>
                <w:szCs w:val="22"/>
              </w:rPr>
              <w:t>:</w:t>
            </w:r>
            <w:r w:rsidR="00E11C38" w:rsidRPr="00093C93">
              <w:rPr>
                <w:b/>
                <w:bCs/>
                <w:i/>
                <w:iCs/>
                <w:sz w:val="22"/>
                <w:szCs w:val="22"/>
              </w:rPr>
              <w:t xml:space="preserve"> 28</w:t>
            </w:r>
            <w:r w:rsidRPr="00093C93">
              <w:rPr>
                <w:b/>
                <w:bCs/>
                <w:i/>
                <w:iCs/>
                <w:sz w:val="22"/>
                <w:szCs w:val="22"/>
              </w:rPr>
              <w:t xml:space="preserve"> января</w:t>
            </w:r>
            <w:r w:rsidRPr="00491669">
              <w:rPr>
                <w:b/>
                <w:bCs/>
                <w:i/>
                <w:iCs/>
                <w:sz w:val="22"/>
                <w:szCs w:val="22"/>
              </w:rPr>
              <w:t xml:space="preserve"> 2016 г.</w:t>
            </w:r>
            <w:r w:rsidRPr="00491669">
              <w:rPr>
                <w:b/>
                <w:bCs/>
                <w:i/>
                <w:iCs/>
                <w:color w:val="000000"/>
                <w:sz w:val="22"/>
                <w:szCs w:val="22"/>
              </w:rPr>
              <w:t xml:space="preserve"> Протокол № </w:t>
            </w:r>
            <w:r w:rsidR="00DB70FD" w:rsidRPr="00491669">
              <w:rPr>
                <w:b/>
                <w:bCs/>
                <w:i/>
                <w:iCs/>
                <w:sz w:val="22"/>
                <w:szCs w:val="22"/>
              </w:rPr>
              <w:t>19</w:t>
            </w:r>
            <w:r w:rsidRPr="00491669">
              <w:rPr>
                <w:b/>
                <w:bCs/>
                <w:i/>
                <w:iCs/>
                <w:color w:val="000000"/>
                <w:sz w:val="22"/>
                <w:szCs w:val="22"/>
              </w:rPr>
              <w:t>.</w:t>
            </w:r>
          </w:p>
        </w:tc>
      </w:tr>
    </w:tbl>
    <w:p w:rsidR="001C0A90" w:rsidRPr="00491669" w:rsidRDefault="001C0A90" w:rsidP="001C0A90">
      <w:pPr>
        <w:pStyle w:val="a3"/>
        <w:tabs>
          <w:tab w:val="clear" w:pos="4677"/>
          <w:tab w:val="clear" w:pos="9355"/>
        </w:tabs>
        <w:rPr>
          <w:sz w:val="22"/>
          <w:szCs w:val="22"/>
        </w:rPr>
      </w:pPr>
    </w:p>
    <w:tbl>
      <w:tblPr>
        <w:tblW w:w="10491"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28"/>
        <w:gridCol w:w="448"/>
        <w:gridCol w:w="293"/>
        <w:gridCol w:w="1318"/>
        <w:gridCol w:w="415"/>
        <w:gridCol w:w="307"/>
        <w:gridCol w:w="412"/>
        <w:gridCol w:w="1984"/>
        <w:gridCol w:w="851"/>
        <w:gridCol w:w="2551"/>
        <w:gridCol w:w="284"/>
      </w:tblGrid>
      <w:tr w:rsidR="001C0A90" w:rsidRPr="00491669" w:rsidTr="00E12175">
        <w:trPr>
          <w:cantSplit/>
        </w:trPr>
        <w:tc>
          <w:tcPr>
            <w:tcW w:w="10491" w:type="dxa"/>
            <w:gridSpan w:val="11"/>
            <w:tcBorders>
              <w:top w:val="single" w:sz="4" w:space="0" w:color="auto"/>
              <w:left w:val="single" w:sz="4" w:space="0" w:color="auto"/>
              <w:bottom w:val="single" w:sz="4" w:space="0" w:color="auto"/>
              <w:right w:val="single" w:sz="4" w:space="0" w:color="auto"/>
            </w:tcBorders>
          </w:tcPr>
          <w:p w:rsidR="001C0A90" w:rsidRPr="00491669" w:rsidRDefault="001C0A90" w:rsidP="002906DE">
            <w:pPr>
              <w:jc w:val="center"/>
              <w:rPr>
                <w:sz w:val="22"/>
                <w:szCs w:val="22"/>
              </w:rPr>
            </w:pPr>
            <w:r w:rsidRPr="00491669">
              <w:rPr>
                <w:sz w:val="22"/>
                <w:szCs w:val="22"/>
              </w:rPr>
              <w:t>3. Подпись</w:t>
            </w:r>
          </w:p>
        </w:tc>
      </w:tr>
      <w:tr w:rsidR="001C0A90" w:rsidRPr="00491669" w:rsidTr="00E12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21" w:type="dxa"/>
            <w:gridSpan w:val="7"/>
            <w:tcBorders>
              <w:top w:val="single" w:sz="4" w:space="0" w:color="auto"/>
              <w:left w:val="single" w:sz="4" w:space="0" w:color="auto"/>
              <w:bottom w:val="nil"/>
              <w:right w:val="nil"/>
            </w:tcBorders>
            <w:vAlign w:val="bottom"/>
          </w:tcPr>
          <w:p w:rsidR="001C0A90" w:rsidRPr="00491669" w:rsidRDefault="001C0A90" w:rsidP="00433609">
            <w:pPr>
              <w:ind w:left="57"/>
              <w:rPr>
                <w:sz w:val="22"/>
                <w:szCs w:val="22"/>
              </w:rPr>
            </w:pPr>
            <w:r w:rsidRPr="00491669">
              <w:rPr>
                <w:sz w:val="22"/>
                <w:szCs w:val="22"/>
              </w:rPr>
              <w:t xml:space="preserve">3.1. </w:t>
            </w:r>
            <w:r w:rsidR="00433609" w:rsidRPr="00491669">
              <w:rPr>
                <w:sz w:val="22"/>
                <w:szCs w:val="22"/>
              </w:rPr>
              <w:t>Генеральный директор ПАО «ИНВЕСТ-ДЕВЕЛОПМЕНТ</w:t>
            </w:r>
          </w:p>
        </w:tc>
        <w:tc>
          <w:tcPr>
            <w:tcW w:w="1984" w:type="dxa"/>
            <w:tcBorders>
              <w:top w:val="single" w:sz="4" w:space="0" w:color="auto"/>
              <w:left w:val="nil"/>
              <w:bottom w:val="single" w:sz="4" w:space="0" w:color="auto"/>
              <w:right w:val="nil"/>
            </w:tcBorders>
            <w:vAlign w:val="bottom"/>
          </w:tcPr>
          <w:p w:rsidR="001C0A90" w:rsidRPr="00491669" w:rsidRDefault="001C0A90" w:rsidP="002906DE">
            <w:pPr>
              <w:jc w:val="center"/>
              <w:rPr>
                <w:sz w:val="22"/>
                <w:szCs w:val="22"/>
              </w:rPr>
            </w:pPr>
          </w:p>
        </w:tc>
        <w:tc>
          <w:tcPr>
            <w:tcW w:w="851" w:type="dxa"/>
            <w:tcBorders>
              <w:top w:val="single" w:sz="4" w:space="0" w:color="auto"/>
              <w:left w:val="nil"/>
              <w:bottom w:val="nil"/>
              <w:right w:val="nil"/>
            </w:tcBorders>
            <w:vAlign w:val="bottom"/>
          </w:tcPr>
          <w:p w:rsidR="001C0A90" w:rsidRPr="00491669" w:rsidRDefault="001C0A90" w:rsidP="002906DE">
            <w:pPr>
              <w:rPr>
                <w:sz w:val="22"/>
                <w:szCs w:val="22"/>
              </w:rPr>
            </w:pPr>
          </w:p>
        </w:tc>
        <w:tc>
          <w:tcPr>
            <w:tcW w:w="2551" w:type="dxa"/>
            <w:tcBorders>
              <w:top w:val="single" w:sz="4" w:space="0" w:color="auto"/>
              <w:left w:val="nil"/>
              <w:bottom w:val="nil"/>
              <w:right w:val="nil"/>
            </w:tcBorders>
            <w:vAlign w:val="bottom"/>
          </w:tcPr>
          <w:p w:rsidR="001C0A90" w:rsidRPr="00491669" w:rsidRDefault="00433609" w:rsidP="006E1B2B">
            <w:pPr>
              <w:jc w:val="center"/>
              <w:rPr>
                <w:sz w:val="22"/>
                <w:szCs w:val="22"/>
              </w:rPr>
            </w:pPr>
            <w:r w:rsidRPr="00491669">
              <w:rPr>
                <w:sz w:val="22"/>
                <w:szCs w:val="22"/>
              </w:rPr>
              <w:t>Старшов Александър Вячеславов</w:t>
            </w:r>
          </w:p>
        </w:tc>
        <w:tc>
          <w:tcPr>
            <w:tcW w:w="284" w:type="dxa"/>
            <w:tcBorders>
              <w:top w:val="single" w:sz="4" w:space="0" w:color="auto"/>
              <w:left w:val="nil"/>
              <w:bottom w:val="nil"/>
              <w:right w:val="single" w:sz="4" w:space="0" w:color="auto"/>
            </w:tcBorders>
            <w:vAlign w:val="bottom"/>
          </w:tcPr>
          <w:p w:rsidR="001C0A90" w:rsidRPr="00491669" w:rsidRDefault="001C0A90" w:rsidP="002906DE">
            <w:pPr>
              <w:rPr>
                <w:sz w:val="22"/>
                <w:szCs w:val="22"/>
              </w:rPr>
            </w:pPr>
          </w:p>
        </w:tc>
      </w:tr>
      <w:tr w:rsidR="001C0A90" w:rsidRPr="00491669" w:rsidTr="00E12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21" w:type="dxa"/>
            <w:gridSpan w:val="7"/>
            <w:tcBorders>
              <w:top w:val="nil"/>
              <w:left w:val="single" w:sz="4" w:space="0" w:color="auto"/>
              <w:bottom w:val="nil"/>
              <w:right w:val="nil"/>
            </w:tcBorders>
          </w:tcPr>
          <w:p w:rsidR="001C0A90" w:rsidRPr="00491669" w:rsidRDefault="001C0A90" w:rsidP="002906DE">
            <w:pPr>
              <w:ind w:left="57"/>
              <w:rPr>
                <w:sz w:val="22"/>
                <w:szCs w:val="22"/>
              </w:rPr>
            </w:pPr>
          </w:p>
        </w:tc>
        <w:tc>
          <w:tcPr>
            <w:tcW w:w="1984" w:type="dxa"/>
            <w:tcBorders>
              <w:top w:val="nil"/>
              <w:left w:val="nil"/>
              <w:bottom w:val="nil"/>
              <w:right w:val="nil"/>
            </w:tcBorders>
          </w:tcPr>
          <w:p w:rsidR="001C0A90" w:rsidRPr="00491669" w:rsidRDefault="001C0A90" w:rsidP="002906DE">
            <w:pPr>
              <w:jc w:val="center"/>
              <w:rPr>
                <w:sz w:val="22"/>
                <w:szCs w:val="22"/>
              </w:rPr>
            </w:pPr>
            <w:r w:rsidRPr="00491669">
              <w:rPr>
                <w:sz w:val="22"/>
                <w:szCs w:val="22"/>
              </w:rPr>
              <w:t>(подпись)</w:t>
            </w:r>
          </w:p>
        </w:tc>
        <w:tc>
          <w:tcPr>
            <w:tcW w:w="851" w:type="dxa"/>
            <w:tcBorders>
              <w:top w:val="nil"/>
              <w:left w:val="nil"/>
              <w:bottom w:val="nil"/>
              <w:right w:val="nil"/>
            </w:tcBorders>
          </w:tcPr>
          <w:p w:rsidR="001C0A90" w:rsidRPr="00491669" w:rsidRDefault="001C0A90" w:rsidP="002906DE">
            <w:pPr>
              <w:rPr>
                <w:sz w:val="22"/>
                <w:szCs w:val="22"/>
              </w:rPr>
            </w:pPr>
          </w:p>
        </w:tc>
        <w:tc>
          <w:tcPr>
            <w:tcW w:w="2551" w:type="dxa"/>
            <w:tcBorders>
              <w:top w:val="nil"/>
              <w:left w:val="nil"/>
              <w:bottom w:val="nil"/>
              <w:right w:val="nil"/>
            </w:tcBorders>
          </w:tcPr>
          <w:p w:rsidR="001C0A90" w:rsidRPr="00491669" w:rsidRDefault="001C0A90" w:rsidP="002906DE">
            <w:pPr>
              <w:rPr>
                <w:sz w:val="22"/>
                <w:szCs w:val="22"/>
              </w:rPr>
            </w:pPr>
          </w:p>
        </w:tc>
        <w:tc>
          <w:tcPr>
            <w:tcW w:w="284" w:type="dxa"/>
            <w:tcBorders>
              <w:top w:val="nil"/>
              <w:left w:val="nil"/>
              <w:bottom w:val="nil"/>
              <w:right w:val="single" w:sz="4" w:space="0" w:color="auto"/>
            </w:tcBorders>
          </w:tcPr>
          <w:p w:rsidR="001C0A90" w:rsidRPr="00491669" w:rsidRDefault="001C0A90" w:rsidP="002906DE">
            <w:pPr>
              <w:rPr>
                <w:sz w:val="22"/>
                <w:szCs w:val="22"/>
              </w:rPr>
            </w:pPr>
          </w:p>
        </w:tc>
      </w:tr>
      <w:tr w:rsidR="001C0A90" w:rsidRPr="00491669" w:rsidTr="00E12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628" w:type="dxa"/>
            <w:tcBorders>
              <w:top w:val="nil"/>
              <w:left w:val="single" w:sz="4" w:space="0" w:color="auto"/>
              <w:bottom w:val="nil"/>
              <w:right w:val="nil"/>
            </w:tcBorders>
            <w:vAlign w:val="bottom"/>
          </w:tcPr>
          <w:p w:rsidR="001C0A90" w:rsidRPr="00491669" w:rsidRDefault="001C0A90" w:rsidP="002906DE">
            <w:pPr>
              <w:ind w:left="57"/>
              <w:rPr>
                <w:sz w:val="22"/>
                <w:szCs w:val="22"/>
              </w:rPr>
            </w:pPr>
            <w:r w:rsidRPr="00491669">
              <w:rPr>
                <w:sz w:val="22"/>
                <w:szCs w:val="22"/>
              </w:rPr>
              <w:t>3.2. Дата</w:t>
            </w:r>
          </w:p>
          <w:p w:rsidR="001C0A90" w:rsidRPr="00491669" w:rsidRDefault="001C0A90" w:rsidP="002906DE">
            <w:pPr>
              <w:ind w:left="57"/>
              <w:jc w:val="right"/>
              <w:rPr>
                <w:sz w:val="22"/>
                <w:szCs w:val="22"/>
              </w:rPr>
            </w:pPr>
            <w:r w:rsidRPr="00491669">
              <w:rPr>
                <w:sz w:val="22"/>
                <w:szCs w:val="22"/>
              </w:rPr>
              <w:t xml:space="preserve">      «</w:t>
            </w:r>
          </w:p>
        </w:tc>
        <w:tc>
          <w:tcPr>
            <w:tcW w:w="448" w:type="dxa"/>
            <w:tcBorders>
              <w:top w:val="nil"/>
              <w:left w:val="nil"/>
              <w:bottom w:val="single" w:sz="4" w:space="0" w:color="auto"/>
              <w:right w:val="nil"/>
            </w:tcBorders>
            <w:vAlign w:val="bottom"/>
          </w:tcPr>
          <w:p w:rsidR="001C0A90" w:rsidRPr="00491669" w:rsidRDefault="00093C93" w:rsidP="00326E79">
            <w:pPr>
              <w:jc w:val="center"/>
              <w:rPr>
                <w:sz w:val="22"/>
                <w:szCs w:val="22"/>
              </w:rPr>
            </w:pPr>
            <w:r>
              <w:rPr>
                <w:b/>
                <w:bCs/>
                <w:i/>
                <w:iCs/>
                <w:sz w:val="22"/>
                <w:szCs w:val="22"/>
              </w:rPr>
              <w:t>28</w:t>
            </w:r>
          </w:p>
        </w:tc>
        <w:tc>
          <w:tcPr>
            <w:tcW w:w="293" w:type="dxa"/>
            <w:tcBorders>
              <w:top w:val="nil"/>
              <w:left w:val="nil"/>
              <w:bottom w:val="nil"/>
              <w:right w:val="nil"/>
            </w:tcBorders>
            <w:vAlign w:val="bottom"/>
          </w:tcPr>
          <w:p w:rsidR="001C0A90" w:rsidRPr="00491669" w:rsidRDefault="001C0A90" w:rsidP="002906DE">
            <w:pPr>
              <w:rPr>
                <w:sz w:val="22"/>
                <w:szCs w:val="22"/>
              </w:rPr>
            </w:pPr>
            <w:r w:rsidRPr="00491669">
              <w:rPr>
                <w:sz w:val="22"/>
                <w:szCs w:val="22"/>
              </w:rPr>
              <w:t>»</w:t>
            </w:r>
          </w:p>
        </w:tc>
        <w:tc>
          <w:tcPr>
            <w:tcW w:w="1318" w:type="dxa"/>
            <w:tcBorders>
              <w:top w:val="nil"/>
              <w:left w:val="nil"/>
              <w:bottom w:val="single" w:sz="4" w:space="0" w:color="auto"/>
              <w:right w:val="nil"/>
            </w:tcBorders>
            <w:vAlign w:val="bottom"/>
          </w:tcPr>
          <w:p w:rsidR="001C0A90" w:rsidRPr="00491669" w:rsidRDefault="00064A2F" w:rsidP="00CF2E78">
            <w:pPr>
              <w:jc w:val="center"/>
              <w:rPr>
                <w:sz w:val="22"/>
                <w:szCs w:val="22"/>
              </w:rPr>
            </w:pPr>
            <w:r w:rsidRPr="00491669">
              <w:rPr>
                <w:sz w:val="22"/>
                <w:szCs w:val="22"/>
              </w:rPr>
              <w:t>января</w:t>
            </w:r>
          </w:p>
        </w:tc>
        <w:tc>
          <w:tcPr>
            <w:tcW w:w="415" w:type="dxa"/>
            <w:tcBorders>
              <w:top w:val="nil"/>
              <w:left w:val="nil"/>
              <w:bottom w:val="nil"/>
              <w:right w:val="nil"/>
            </w:tcBorders>
            <w:vAlign w:val="bottom"/>
          </w:tcPr>
          <w:p w:rsidR="001C0A90" w:rsidRPr="00491669" w:rsidRDefault="001C0A90" w:rsidP="002906DE">
            <w:pPr>
              <w:jc w:val="right"/>
              <w:rPr>
                <w:sz w:val="22"/>
                <w:szCs w:val="22"/>
              </w:rPr>
            </w:pPr>
            <w:r w:rsidRPr="00491669">
              <w:rPr>
                <w:sz w:val="22"/>
                <w:szCs w:val="22"/>
              </w:rPr>
              <w:t>20</w:t>
            </w:r>
          </w:p>
        </w:tc>
        <w:tc>
          <w:tcPr>
            <w:tcW w:w="307" w:type="dxa"/>
            <w:tcBorders>
              <w:top w:val="nil"/>
              <w:left w:val="nil"/>
              <w:bottom w:val="single" w:sz="4" w:space="0" w:color="auto"/>
              <w:right w:val="nil"/>
            </w:tcBorders>
            <w:vAlign w:val="bottom"/>
          </w:tcPr>
          <w:p w:rsidR="001C0A90" w:rsidRPr="00491669" w:rsidRDefault="001C0A90" w:rsidP="00064A2F">
            <w:pPr>
              <w:rPr>
                <w:sz w:val="22"/>
                <w:szCs w:val="22"/>
              </w:rPr>
            </w:pPr>
            <w:r w:rsidRPr="00491669">
              <w:rPr>
                <w:sz w:val="22"/>
                <w:szCs w:val="22"/>
              </w:rPr>
              <w:t>1</w:t>
            </w:r>
            <w:r w:rsidR="00064A2F" w:rsidRPr="00491669">
              <w:rPr>
                <w:sz w:val="22"/>
                <w:szCs w:val="22"/>
              </w:rPr>
              <w:t>6</w:t>
            </w:r>
          </w:p>
        </w:tc>
        <w:tc>
          <w:tcPr>
            <w:tcW w:w="412" w:type="dxa"/>
            <w:tcBorders>
              <w:top w:val="nil"/>
              <w:left w:val="nil"/>
              <w:bottom w:val="nil"/>
              <w:right w:val="nil"/>
            </w:tcBorders>
            <w:vAlign w:val="bottom"/>
          </w:tcPr>
          <w:p w:rsidR="001C0A90" w:rsidRPr="00491669" w:rsidRDefault="001C0A90" w:rsidP="002906DE">
            <w:pPr>
              <w:ind w:left="57"/>
              <w:rPr>
                <w:sz w:val="22"/>
                <w:szCs w:val="22"/>
              </w:rPr>
            </w:pPr>
            <w:r w:rsidRPr="00491669">
              <w:rPr>
                <w:sz w:val="22"/>
                <w:szCs w:val="22"/>
              </w:rPr>
              <w:t>г.</w:t>
            </w:r>
          </w:p>
        </w:tc>
        <w:tc>
          <w:tcPr>
            <w:tcW w:w="1984" w:type="dxa"/>
            <w:tcBorders>
              <w:top w:val="nil"/>
              <w:left w:val="nil"/>
              <w:bottom w:val="nil"/>
              <w:right w:val="nil"/>
            </w:tcBorders>
            <w:vAlign w:val="bottom"/>
          </w:tcPr>
          <w:p w:rsidR="001C0A90" w:rsidRPr="00491669" w:rsidRDefault="001C0A90" w:rsidP="002906DE">
            <w:pPr>
              <w:jc w:val="center"/>
              <w:rPr>
                <w:sz w:val="22"/>
                <w:szCs w:val="22"/>
              </w:rPr>
            </w:pPr>
            <w:r w:rsidRPr="00491669">
              <w:rPr>
                <w:sz w:val="22"/>
                <w:szCs w:val="22"/>
              </w:rPr>
              <w:t>М.П.</w:t>
            </w:r>
          </w:p>
        </w:tc>
        <w:tc>
          <w:tcPr>
            <w:tcW w:w="3686" w:type="dxa"/>
            <w:gridSpan w:val="3"/>
            <w:tcBorders>
              <w:top w:val="nil"/>
              <w:left w:val="nil"/>
              <w:bottom w:val="nil"/>
              <w:right w:val="single" w:sz="4" w:space="0" w:color="auto"/>
            </w:tcBorders>
            <w:vAlign w:val="bottom"/>
          </w:tcPr>
          <w:p w:rsidR="001C0A90" w:rsidRPr="00491669" w:rsidRDefault="001C0A90" w:rsidP="002906DE">
            <w:pPr>
              <w:rPr>
                <w:sz w:val="22"/>
                <w:szCs w:val="22"/>
              </w:rPr>
            </w:pPr>
          </w:p>
        </w:tc>
      </w:tr>
      <w:tr w:rsidR="001C0A90" w:rsidRPr="00491669" w:rsidTr="00E12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21" w:type="dxa"/>
            <w:gridSpan w:val="7"/>
            <w:tcBorders>
              <w:top w:val="nil"/>
              <w:left w:val="single" w:sz="4" w:space="0" w:color="auto"/>
              <w:bottom w:val="single" w:sz="4" w:space="0" w:color="auto"/>
              <w:right w:val="nil"/>
            </w:tcBorders>
          </w:tcPr>
          <w:p w:rsidR="001C0A90" w:rsidRPr="00491669" w:rsidRDefault="001C0A90" w:rsidP="002906DE">
            <w:pPr>
              <w:ind w:left="57"/>
              <w:rPr>
                <w:sz w:val="22"/>
                <w:szCs w:val="22"/>
              </w:rPr>
            </w:pPr>
          </w:p>
        </w:tc>
        <w:tc>
          <w:tcPr>
            <w:tcW w:w="1984" w:type="dxa"/>
            <w:tcBorders>
              <w:top w:val="nil"/>
              <w:left w:val="nil"/>
              <w:bottom w:val="single" w:sz="4" w:space="0" w:color="auto"/>
              <w:right w:val="nil"/>
            </w:tcBorders>
          </w:tcPr>
          <w:p w:rsidR="001C0A90" w:rsidRPr="00491669" w:rsidRDefault="001C0A90" w:rsidP="002906DE">
            <w:pPr>
              <w:jc w:val="center"/>
              <w:rPr>
                <w:sz w:val="22"/>
                <w:szCs w:val="22"/>
              </w:rPr>
            </w:pPr>
          </w:p>
        </w:tc>
        <w:tc>
          <w:tcPr>
            <w:tcW w:w="3686" w:type="dxa"/>
            <w:gridSpan w:val="3"/>
            <w:tcBorders>
              <w:top w:val="nil"/>
              <w:left w:val="nil"/>
              <w:bottom w:val="single" w:sz="4" w:space="0" w:color="auto"/>
              <w:right w:val="single" w:sz="4" w:space="0" w:color="auto"/>
            </w:tcBorders>
          </w:tcPr>
          <w:p w:rsidR="001C0A90" w:rsidRPr="00491669" w:rsidRDefault="001C0A90" w:rsidP="002906DE">
            <w:pPr>
              <w:rPr>
                <w:sz w:val="22"/>
                <w:szCs w:val="22"/>
              </w:rPr>
            </w:pPr>
          </w:p>
        </w:tc>
      </w:tr>
    </w:tbl>
    <w:p w:rsidR="00F01F22" w:rsidRPr="00491669" w:rsidRDefault="00F01F22" w:rsidP="00BD7723">
      <w:pPr>
        <w:adjustRightInd w:val="0"/>
        <w:jc w:val="both"/>
        <w:rPr>
          <w:sz w:val="22"/>
          <w:szCs w:val="22"/>
        </w:rPr>
      </w:pPr>
    </w:p>
    <w:sectPr w:rsidR="00F01F22" w:rsidRPr="00491669" w:rsidSect="0090076F">
      <w:pgSz w:w="11906" w:h="16838" w:code="9"/>
      <w:pgMar w:top="426" w:right="1134" w:bottom="284" w:left="1134"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601" w:rsidRDefault="00BD2601">
      <w:r>
        <w:separator/>
      </w:r>
    </w:p>
  </w:endnote>
  <w:endnote w:type="continuationSeparator" w:id="0">
    <w:p w:rsidR="00BD2601" w:rsidRDefault="00BD26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PragmaticaCTT">
    <w:altName w:val="Arial"/>
    <w:charset w:val="CC"/>
    <w:family w:val="swiss"/>
    <w:pitch w:val="variable"/>
    <w:sig w:usb0="00000001" w:usb1="00000000" w:usb2="00000000" w:usb3="00000000" w:csb0="00000005" w:csb1="00000000"/>
  </w:font>
  <w:font w:name="SchoolBook">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601" w:rsidRDefault="00BD2601">
      <w:r>
        <w:separator/>
      </w:r>
    </w:p>
  </w:footnote>
  <w:footnote w:type="continuationSeparator" w:id="0">
    <w:p w:rsidR="00BD2601" w:rsidRDefault="00BD26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38A3"/>
    <w:multiLevelType w:val="hybridMultilevel"/>
    <w:tmpl w:val="1A5ED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E2C0A"/>
    <w:multiLevelType w:val="hybridMultilevel"/>
    <w:tmpl w:val="48288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8A65A2"/>
    <w:multiLevelType w:val="multilevel"/>
    <w:tmpl w:val="09D218F6"/>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
    <w:nsid w:val="0D4F4404"/>
    <w:multiLevelType w:val="hybridMultilevel"/>
    <w:tmpl w:val="3C0042CA"/>
    <w:lvl w:ilvl="0" w:tplc="CDD6349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1F15B2"/>
    <w:multiLevelType w:val="hybridMultilevel"/>
    <w:tmpl w:val="355ECB2C"/>
    <w:lvl w:ilvl="0" w:tplc="1214EFDC">
      <w:start w:val="1"/>
      <w:numFmt w:val="decimal"/>
      <w:lvlText w:val="2.%1."/>
      <w:lvlJc w:val="left"/>
      <w:pPr>
        <w:ind w:left="360" w:hanging="360"/>
      </w:pPr>
      <w:rPr>
        <w:rFonts w:hint="default"/>
        <w:b w:val="0"/>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0A24CF5"/>
    <w:multiLevelType w:val="hybridMultilevel"/>
    <w:tmpl w:val="52A60322"/>
    <w:lvl w:ilvl="0" w:tplc="8788EF58">
      <w:start w:val="6"/>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B16305"/>
    <w:multiLevelType w:val="hybridMultilevel"/>
    <w:tmpl w:val="31CCBE52"/>
    <w:lvl w:ilvl="0" w:tplc="6960F3CE">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945443"/>
    <w:multiLevelType w:val="hybridMultilevel"/>
    <w:tmpl w:val="AEC44334"/>
    <w:lvl w:ilvl="0" w:tplc="9822C800">
      <w:start w:val="4"/>
      <w:numFmt w:val="bullet"/>
      <w:lvlText w:val="-"/>
      <w:lvlJc w:val="left"/>
      <w:pPr>
        <w:tabs>
          <w:tab w:val="num" w:pos="720"/>
        </w:tabs>
        <w:ind w:left="720" w:hanging="360"/>
      </w:pPr>
      <w:rPr>
        <w:rFonts w:ascii="Times New Roman" w:eastAsia="Times New Roman" w:hAnsi="Times New Roman"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38F4F66"/>
    <w:multiLevelType w:val="hybridMultilevel"/>
    <w:tmpl w:val="92068F4C"/>
    <w:lvl w:ilvl="0" w:tplc="9822C800">
      <w:start w:val="4"/>
      <w:numFmt w:val="bullet"/>
      <w:lvlText w:val="-"/>
      <w:lvlJc w:val="left"/>
      <w:pPr>
        <w:tabs>
          <w:tab w:val="num" w:pos="720"/>
        </w:tabs>
        <w:ind w:left="720" w:hanging="360"/>
      </w:pPr>
      <w:rPr>
        <w:rFonts w:ascii="Times New Roman" w:eastAsia="Times New Roman" w:hAnsi="Times New Roman"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4A4565E"/>
    <w:multiLevelType w:val="hybridMultilevel"/>
    <w:tmpl w:val="CA301DC0"/>
    <w:lvl w:ilvl="0" w:tplc="9572D8C6">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0">
    <w:nsid w:val="26165A1F"/>
    <w:multiLevelType w:val="hybridMultilevel"/>
    <w:tmpl w:val="1A5ED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4E4910"/>
    <w:multiLevelType w:val="hybridMultilevel"/>
    <w:tmpl w:val="4EA43748"/>
    <w:lvl w:ilvl="0" w:tplc="1214EFDC">
      <w:start w:val="1"/>
      <w:numFmt w:val="decimal"/>
      <w:lvlText w:val="2.%1."/>
      <w:lvlJc w:val="left"/>
      <w:pPr>
        <w:ind w:left="360" w:hanging="360"/>
      </w:pPr>
      <w:rPr>
        <w:rFonts w:hint="default"/>
        <w:b w:val="0"/>
        <w:i w:val="0"/>
      </w:rPr>
    </w:lvl>
    <w:lvl w:ilvl="1" w:tplc="04190001">
      <w:start w:val="1"/>
      <w:numFmt w:val="bullet"/>
      <w:lvlText w:val=""/>
      <w:lvlJc w:val="left"/>
      <w:pPr>
        <w:ind w:left="1080" w:hanging="360"/>
      </w:pPr>
      <w:rPr>
        <w:rFonts w:ascii="Symbol" w:hAnsi="Symbol" w:hint="default"/>
      </w:rPr>
    </w:lvl>
    <w:lvl w:ilvl="2" w:tplc="DB0E41BC">
      <w:start w:val="4"/>
      <w:numFmt w:val="bullet"/>
      <w:lvlText w:val="-"/>
      <w:lvlJc w:val="left"/>
      <w:pPr>
        <w:ind w:left="1800" w:hanging="180"/>
      </w:pPr>
      <w:rPr>
        <w:rFonts w:ascii="Times New Roman" w:eastAsia="Times New Roman" w:hAnsi="Times New Roman" w:hint="default"/>
        <w:b/>
        <w:sz w:val="24"/>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7F22C1"/>
    <w:multiLevelType w:val="hybridMultilevel"/>
    <w:tmpl w:val="06566D02"/>
    <w:lvl w:ilvl="0" w:tplc="1214EFDC">
      <w:start w:val="1"/>
      <w:numFmt w:val="decimal"/>
      <w:lvlText w:val="2.%1."/>
      <w:lvlJc w:val="left"/>
      <w:pPr>
        <w:ind w:left="360" w:hanging="360"/>
      </w:pPr>
      <w:rPr>
        <w:rFonts w:hint="default"/>
        <w:b w:val="0"/>
        <w:i w:val="0"/>
      </w:rPr>
    </w:lvl>
    <w:lvl w:ilvl="1" w:tplc="0419000F">
      <w:start w:val="1"/>
      <w:numFmt w:val="decimal"/>
      <w:lvlText w:val="%2."/>
      <w:lvlJc w:val="left"/>
      <w:pPr>
        <w:ind w:left="1080" w:hanging="360"/>
      </w:pPr>
      <w:rPr>
        <w:rFonts w:hint="default"/>
      </w:r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FEF1B58"/>
    <w:multiLevelType w:val="hybridMultilevel"/>
    <w:tmpl w:val="5A82A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E44EF3"/>
    <w:multiLevelType w:val="hybridMultilevel"/>
    <w:tmpl w:val="F716ACC0"/>
    <w:lvl w:ilvl="0" w:tplc="7F16D310">
      <w:start w:val="1"/>
      <w:numFmt w:val="upperLetter"/>
      <w:lvlText w:val="(%1)"/>
      <w:lvlJc w:val="left"/>
      <w:pPr>
        <w:tabs>
          <w:tab w:val="num" w:pos="720"/>
        </w:tabs>
        <w:ind w:left="720" w:hanging="360"/>
      </w:pPr>
      <w:rPr>
        <w:rFonts w:cs="Times New Roman" w:hint="default"/>
      </w:rPr>
    </w:lvl>
    <w:lvl w:ilvl="1" w:tplc="01A2F82A">
      <w:start w:val="1"/>
      <w:numFmt w:val="upperRoman"/>
      <w:lvlText w:val="%2."/>
      <w:lvlJc w:val="left"/>
      <w:pPr>
        <w:tabs>
          <w:tab w:val="num" w:pos="1800"/>
        </w:tabs>
        <w:ind w:left="1800" w:hanging="720"/>
      </w:pPr>
      <w:rPr>
        <w:rFonts w:cs="Times New Roman" w:hint="default"/>
      </w:rPr>
    </w:lvl>
    <w:lvl w:ilvl="2" w:tplc="BB680156">
      <w:start w:val="1"/>
      <w:numFmt w:val="decimal"/>
      <w:lvlText w:val="%3."/>
      <w:lvlJc w:val="left"/>
      <w:pPr>
        <w:tabs>
          <w:tab w:val="num" w:pos="2340"/>
        </w:tabs>
        <w:ind w:left="2340" w:hanging="360"/>
      </w:pPr>
      <w:rPr>
        <w:rFonts w:cs="Times New Roman" w:hint="default"/>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5">
    <w:nsid w:val="3B335B90"/>
    <w:multiLevelType w:val="hybridMultilevel"/>
    <w:tmpl w:val="A1467D6E"/>
    <w:lvl w:ilvl="0" w:tplc="9822C800">
      <w:start w:val="4"/>
      <w:numFmt w:val="bullet"/>
      <w:lvlText w:val="-"/>
      <w:lvlJc w:val="left"/>
      <w:pPr>
        <w:tabs>
          <w:tab w:val="num" w:pos="502"/>
        </w:tabs>
        <w:ind w:left="502"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B7E1405"/>
    <w:multiLevelType w:val="hybridMultilevel"/>
    <w:tmpl w:val="5FAA617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
    <w:nsid w:val="3D3C7651"/>
    <w:multiLevelType w:val="hybridMultilevel"/>
    <w:tmpl w:val="9BA45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DD132B"/>
    <w:multiLevelType w:val="hybridMultilevel"/>
    <w:tmpl w:val="34E0E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957E59"/>
    <w:multiLevelType w:val="hybridMultilevel"/>
    <w:tmpl w:val="CDB07026"/>
    <w:lvl w:ilvl="0" w:tplc="1214EFDC">
      <w:start w:val="1"/>
      <w:numFmt w:val="decimal"/>
      <w:lvlText w:val="2.%1."/>
      <w:lvlJc w:val="left"/>
      <w:pPr>
        <w:ind w:left="360" w:hanging="360"/>
      </w:pPr>
      <w:rPr>
        <w:rFonts w:hint="default"/>
        <w:b w:val="0"/>
        <w:i w:val="0"/>
      </w:rPr>
    </w:lvl>
    <w:lvl w:ilvl="1" w:tplc="EEFCEE44">
      <w:start w:val="1"/>
      <w:numFmt w:val="bullet"/>
      <w:lvlText w:val=""/>
      <w:lvlJc w:val="left"/>
      <w:pPr>
        <w:ind w:left="1080" w:hanging="360"/>
      </w:pPr>
      <w:rPr>
        <w:rFonts w:ascii="Symbol" w:hAnsi="Symbol" w:hint="default"/>
      </w:r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6834EB8"/>
    <w:multiLevelType w:val="hybridMultilevel"/>
    <w:tmpl w:val="7B5E2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04087F"/>
    <w:multiLevelType w:val="hybridMultilevel"/>
    <w:tmpl w:val="2996A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9177D0"/>
    <w:multiLevelType w:val="hybridMultilevel"/>
    <w:tmpl w:val="8EF4CCA0"/>
    <w:lvl w:ilvl="0" w:tplc="04190001">
      <w:start w:val="1"/>
      <w:numFmt w:val="bullet"/>
      <w:lvlText w:val=""/>
      <w:lvlJc w:val="left"/>
      <w:pPr>
        <w:ind w:left="820" w:hanging="360"/>
      </w:pPr>
      <w:rPr>
        <w:rFonts w:ascii="Symbol" w:hAnsi="Symbol" w:hint="default"/>
      </w:rPr>
    </w:lvl>
    <w:lvl w:ilvl="1" w:tplc="04190019">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23">
    <w:nsid w:val="4AF565D7"/>
    <w:multiLevelType w:val="hybridMultilevel"/>
    <w:tmpl w:val="8084EFFA"/>
    <w:lvl w:ilvl="0" w:tplc="8788EF58">
      <w:start w:val="6"/>
      <w:numFmt w:val="bullet"/>
      <w:lvlText w:val="-"/>
      <w:lvlJc w:val="left"/>
      <w:pPr>
        <w:tabs>
          <w:tab w:val="num" w:pos="1080"/>
        </w:tabs>
        <w:ind w:left="1080" w:hanging="360"/>
      </w:pPr>
      <w:rPr>
        <w:rFonts w:ascii="Times New Roman" w:eastAsia="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E41534D"/>
    <w:multiLevelType w:val="hybridMultilevel"/>
    <w:tmpl w:val="11D445E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A568E8"/>
    <w:multiLevelType w:val="hybridMultilevel"/>
    <w:tmpl w:val="FAC2AFC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5EC73C9"/>
    <w:multiLevelType w:val="hybridMultilevel"/>
    <w:tmpl w:val="514AFB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CA2DF3"/>
    <w:multiLevelType w:val="hybridMultilevel"/>
    <w:tmpl w:val="585298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B616FA9"/>
    <w:multiLevelType w:val="hybridMultilevel"/>
    <w:tmpl w:val="03AAD6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AA00B8"/>
    <w:multiLevelType w:val="hybridMultilevel"/>
    <w:tmpl w:val="082A6F28"/>
    <w:lvl w:ilvl="0" w:tplc="DB0E41BC">
      <w:start w:val="4"/>
      <w:numFmt w:val="bullet"/>
      <w:lvlText w:val="-"/>
      <w:lvlJc w:val="left"/>
      <w:pPr>
        <w:ind w:left="720" w:hanging="360"/>
      </w:pPr>
      <w:rPr>
        <w:rFonts w:ascii="Times New Roman" w:eastAsia="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4900EA"/>
    <w:multiLevelType w:val="hybridMultilevel"/>
    <w:tmpl w:val="66D45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04093B"/>
    <w:multiLevelType w:val="hybridMultilevel"/>
    <w:tmpl w:val="5002F46E"/>
    <w:lvl w:ilvl="0" w:tplc="1214EFDC">
      <w:start w:val="1"/>
      <w:numFmt w:val="decimal"/>
      <w:lvlText w:val="2.%1."/>
      <w:lvlJc w:val="left"/>
      <w:pPr>
        <w:ind w:left="360" w:hanging="360"/>
      </w:pPr>
      <w:rPr>
        <w:rFonts w:hint="default"/>
        <w:b w:val="0"/>
        <w:i w:val="0"/>
      </w:rPr>
    </w:lvl>
    <w:lvl w:ilvl="1" w:tplc="DFC4DBB8">
      <w:start w:val="1"/>
      <w:numFmt w:val="russianLower"/>
      <w:lvlText w:val="%2)"/>
      <w:lvlJc w:val="left"/>
      <w:pPr>
        <w:ind w:left="1080" w:hanging="360"/>
      </w:pPr>
      <w:rPr>
        <w:rFonts w:hint="default"/>
      </w:r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ACC2F7C"/>
    <w:multiLevelType w:val="hybridMultilevel"/>
    <w:tmpl w:val="BC9C1BEC"/>
    <w:lvl w:ilvl="0" w:tplc="04090001">
      <w:numFmt w:val="bullet"/>
      <w:lvlText w:val="-"/>
      <w:lvlJc w:val="left"/>
      <w:pPr>
        <w:tabs>
          <w:tab w:val="num" w:pos="1068"/>
        </w:tabs>
        <w:ind w:left="1068" w:hanging="360"/>
      </w:pPr>
      <w:rPr>
        <w:rFonts w:ascii="Arial" w:eastAsia="Times New Roman" w:hAnsi="Arial" w:hint="default"/>
      </w:rPr>
    </w:lvl>
    <w:lvl w:ilvl="1" w:tplc="04190003">
      <w:numFmt w:val="bullet"/>
      <w:lvlText w:val="-"/>
      <w:lvlJc w:val="left"/>
      <w:pPr>
        <w:tabs>
          <w:tab w:val="num" w:pos="1428"/>
        </w:tabs>
        <w:ind w:left="1428" w:hanging="360"/>
      </w:pPr>
      <w:rPr>
        <w:rFonts w:ascii="Arial" w:eastAsia="Times New Roman" w:hAnsi="Arial" w:hint="default"/>
      </w:rPr>
    </w:lvl>
    <w:lvl w:ilvl="2" w:tplc="04190005">
      <w:start w:val="1"/>
      <w:numFmt w:val="bullet"/>
      <w:lvlText w:val=""/>
      <w:lvlJc w:val="left"/>
      <w:pPr>
        <w:tabs>
          <w:tab w:val="num" w:pos="2148"/>
        </w:tabs>
        <w:ind w:left="2148" w:hanging="360"/>
      </w:pPr>
      <w:rPr>
        <w:rFonts w:ascii="Wingdings" w:hAnsi="Wingdings" w:hint="default"/>
      </w:rPr>
    </w:lvl>
    <w:lvl w:ilvl="3" w:tplc="04190001">
      <w:start w:val="1"/>
      <w:numFmt w:val="bullet"/>
      <w:lvlText w:val=""/>
      <w:lvlJc w:val="left"/>
      <w:pPr>
        <w:tabs>
          <w:tab w:val="num" w:pos="2868"/>
        </w:tabs>
        <w:ind w:left="2868" w:hanging="360"/>
      </w:pPr>
      <w:rPr>
        <w:rFonts w:ascii="Symbol" w:hAnsi="Symbol" w:hint="default"/>
      </w:rPr>
    </w:lvl>
    <w:lvl w:ilvl="4" w:tplc="04190003">
      <w:start w:val="1"/>
      <w:numFmt w:val="bullet"/>
      <w:lvlText w:val="o"/>
      <w:lvlJc w:val="left"/>
      <w:pPr>
        <w:tabs>
          <w:tab w:val="num" w:pos="3588"/>
        </w:tabs>
        <w:ind w:left="3588" w:hanging="360"/>
      </w:pPr>
      <w:rPr>
        <w:rFonts w:ascii="Courier New" w:hAnsi="Courier New" w:hint="default"/>
      </w:rPr>
    </w:lvl>
    <w:lvl w:ilvl="5" w:tplc="04190005">
      <w:start w:val="1"/>
      <w:numFmt w:val="bullet"/>
      <w:lvlText w:val=""/>
      <w:lvlJc w:val="left"/>
      <w:pPr>
        <w:tabs>
          <w:tab w:val="num" w:pos="4308"/>
        </w:tabs>
        <w:ind w:left="4308" w:hanging="360"/>
      </w:pPr>
      <w:rPr>
        <w:rFonts w:ascii="Wingdings" w:hAnsi="Wingdings" w:hint="default"/>
      </w:rPr>
    </w:lvl>
    <w:lvl w:ilvl="6" w:tplc="04190001">
      <w:start w:val="1"/>
      <w:numFmt w:val="bullet"/>
      <w:lvlText w:val=""/>
      <w:lvlJc w:val="left"/>
      <w:pPr>
        <w:tabs>
          <w:tab w:val="num" w:pos="5028"/>
        </w:tabs>
        <w:ind w:left="5028" w:hanging="360"/>
      </w:pPr>
      <w:rPr>
        <w:rFonts w:ascii="Symbol" w:hAnsi="Symbol" w:hint="default"/>
      </w:rPr>
    </w:lvl>
    <w:lvl w:ilvl="7" w:tplc="04190003">
      <w:start w:val="1"/>
      <w:numFmt w:val="bullet"/>
      <w:lvlText w:val="o"/>
      <w:lvlJc w:val="left"/>
      <w:pPr>
        <w:tabs>
          <w:tab w:val="num" w:pos="5748"/>
        </w:tabs>
        <w:ind w:left="5748" w:hanging="360"/>
      </w:pPr>
      <w:rPr>
        <w:rFonts w:ascii="Courier New" w:hAnsi="Courier New" w:hint="default"/>
      </w:rPr>
    </w:lvl>
    <w:lvl w:ilvl="8" w:tplc="04190005">
      <w:start w:val="1"/>
      <w:numFmt w:val="bullet"/>
      <w:lvlText w:val=""/>
      <w:lvlJc w:val="left"/>
      <w:pPr>
        <w:tabs>
          <w:tab w:val="num" w:pos="6468"/>
        </w:tabs>
        <w:ind w:left="6468" w:hanging="360"/>
      </w:pPr>
      <w:rPr>
        <w:rFonts w:ascii="Wingdings" w:hAnsi="Wingdings" w:hint="default"/>
      </w:rPr>
    </w:lvl>
  </w:abstractNum>
  <w:num w:numId="1">
    <w:abstractNumId w:val="25"/>
  </w:num>
  <w:num w:numId="2">
    <w:abstractNumId w:val="23"/>
  </w:num>
  <w:num w:numId="3">
    <w:abstractNumId w:val="5"/>
  </w:num>
  <w:num w:numId="4">
    <w:abstractNumId w:val="32"/>
  </w:num>
  <w:num w:numId="5">
    <w:abstractNumId w:val="15"/>
  </w:num>
  <w:num w:numId="6">
    <w:abstractNumId w:val="27"/>
  </w:num>
  <w:num w:numId="7">
    <w:abstractNumId w:val="8"/>
  </w:num>
  <w:num w:numId="8">
    <w:abstractNumId w:val="7"/>
  </w:num>
  <w:num w:numId="9">
    <w:abstractNumId w:val="1"/>
  </w:num>
  <w:num w:numId="10">
    <w:abstractNumId w:val="18"/>
  </w:num>
  <w:num w:numId="11">
    <w:abstractNumId w:val="21"/>
  </w:num>
  <w:num w:numId="12">
    <w:abstractNumId w:val="20"/>
  </w:num>
  <w:num w:numId="13">
    <w:abstractNumId w:val="13"/>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0"/>
  </w:num>
  <w:num w:numId="17">
    <w:abstractNumId w:val="24"/>
  </w:num>
  <w:num w:numId="18">
    <w:abstractNumId w:val="0"/>
  </w:num>
  <w:num w:numId="19">
    <w:abstractNumId w:val="29"/>
  </w:num>
  <w:num w:numId="20">
    <w:abstractNumId w:val="28"/>
  </w:num>
  <w:num w:numId="21">
    <w:abstractNumId w:val="26"/>
  </w:num>
  <w:num w:numId="22">
    <w:abstractNumId w:val="4"/>
  </w:num>
  <w:num w:numId="23">
    <w:abstractNumId w:val="14"/>
  </w:num>
  <w:num w:numId="24">
    <w:abstractNumId w:val="9"/>
  </w:num>
  <w:num w:numId="25">
    <w:abstractNumId w:val="22"/>
  </w:num>
  <w:num w:numId="26">
    <w:abstractNumId w:val="31"/>
  </w:num>
  <w:num w:numId="27">
    <w:abstractNumId w:val="12"/>
  </w:num>
  <w:num w:numId="28">
    <w:abstractNumId w:val="6"/>
  </w:num>
  <w:num w:numId="29">
    <w:abstractNumId w:val="17"/>
  </w:num>
  <w:num w:numId="30">
    <w:abstractNumId w:val="11"/>
  </w:num>
  <w:num w:numId="31">
    <w:abstractNumId w:val="10"/>
  </w:num>
  <w:num w:numId="32">
    <w:abstractNumId w:val="19"/>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proofState w:spelling="clean" w:grammar="clean"/>
  <w:stylePaneFormatFilter w:val="3F01"/>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6"/>
  </w:hdrShapeDefaults>
  <w:footnotePr>
    <w:footnote w:id="-1"/>
    <w:footnote w:id="0"/>
  </w:footnotePr>
  <w:endnotePr>
    <w:endnote w:id="-1"/>
    <w:endnote w:id="0"/>
  </w:endnotePr>
  <w:compat/>
  <w:rsids>
    <w:rsidRoot w:val="00F01F22"/>
    <w:rsid w:val="00004363"/>
    <w:rsid w:val="0000772D"/>
    <w:rsid w:val="00010407"/>
    <w:rsid w:val="00010B8B"/>
    <w:rsid w:val="00017415"/>
    <w:rsid w:val="000208FF"/>
    <w:rsid w:val="00034694"/>
    <w:rsid w:val="0004676E"/>
    <w:rsid w:val="00064A2F"/>
    <w:rsid w:val="00066E91"/>
    <w:rsid w:val="00080725"/>
    <w:rsid w:val="00082559"/>
    <w:rsid w:val="00093C93"/>
    <w:rsid w:val="000A0497"/>
    <w:rsid w:val="000A1815"/>
    <w:rsid w:val="000B14AB"/>
    <w:rsid w:val="000B1E17"/>
    <w:rsid w:val="000B651C"/>
    <w:rsid w:val="000B6E9D"/>
    <w:rsid w:val="000C0DC0"/>
    <w:rsid w:val="000C6068"/>
    <w:rsid w:val="000C7456"/>
    <w:rsid w:val="000D2449"/>
    <w:rsid w:val="000D42F3"/>
    <w:rsid w:val="000D57C9"/>
    <w:rsid w:val="000F15CE"/>
    <w:rsid w:val="00101DE7"/>
    <w:rsid w:val="00114754"/>
    <w:rsid w:val="00126DCE"/>
    <w:rsid w:val="0013693A"/>
    <w:rsid w:val="0014291E"/>
    <w:rsid w:val="00161A2B"/>
    <w:rsid w:val="00166D09"/>
    <w:rsid w:val="00172A77"/>
    <w:rsid w:val="001A515E"/>
    <w:rsid w:val="001B27B5"/>
    <w:rsid w:val="001B3C77"/>
    <w:rsid w:val="001B469A"/>
    <w:rsid w:val="001C0A90"/>
    <w:rsid w:val="001C4F9B"/>
    <w:rsid w:val="001E091B"/>
    <w:rsid w:val="001E2A6F"/>
    <w:rsid w:val="001E2BA5"/>
    <w:rsid w:val="001E3380"/>
    <w:rsid w:val="001F5030"/>
    <w:rsid w:val="002255C9"/>
    <w:rsid w:val="00225664"/>
    <w:rsid w:val="00230960"/>
    <w:rsid w:val="00232BD1"/>
    <w:rsid w:val="0025627E"/>
    <w:rsid w:val="00265B42"/>
    <w:rsid w:val="00265FFF"/>
    <w:rsid w:val="00274DCD"/>
    <w:rsid w:val="00281E37"/>
    <w:rsid w:val="002906DE"/>
    <w:rsid w:val="0029093D"/>
    <w:rsid w:val="002A04B7"/>
    <w:rsid w:val="002A6477"/>
    <w:rsid w:val="002A76EC"/>
    <w:rsid w:val="002C49EA"/>
    <w:rsid w:val="002D6A86"/>
    <w:rsid w:val="002E1B23"/>
    <w:rsid w:val="00300876"/>
    <w:rsid w:val="003035A5"/>
    <w:rsid w:val="003039AC"/>
    <w:rsid w:val="003064CE"/>
    <w:rsid w:val="00315E2F"/>
    <w:rsid w:val="00326B0C"/>
    <w:rsid w:val="00326E79"/>
    <w:rsid w:val="00347BA7"/>
    <w:rsid w:val="00350F64"/>
    <w:rsid w:val="0035484A"/>
    <w:rsid w:val="00370767"/>
    <w:rsid w:val="00376675"/>
    <w:rsid w:val="00377C5A"/>
    <w:rsid w:val="0038449C"/>
    <w:rsid w:val="003935F4"/>
    <w:rsid w:val="003A0F98"/>
    <w:rsid w:val="003A6E91"/>
    <w:rsid w:val="003B197D"/>
    <w:rsid w:val="003B636C"/>
    <w:rsid w:val="003C5CB9"/>
    <w:rsid w:val="003D1517"/>
    <w:rsid w:val="003D7FDC"/>
    <w:rsid w:val="003F451E"/>
    <w:rsid w:val="003F522C"/>
    <w:rsid w:val="00401CED"/>
    <w:rsid w:val="00402961"/>
    <w:rsid w:val="00403352"/>
    <w:rsid w:val="004034CE"/>
    <w:rsid w:val="0041369A"/>
    <w:rsid w:val="00420F7F"/>
    <w:rsid w:val="00424DB7"/>
    <w:rsid w:val="00425335"/>
    <w:rsid w:val="004253D1"/>
    <w:rsid w:val="0042540D"/>
    <w:rsid w:val="00430327"/>
    <w:rsid w:val="00430A77"/>
    <w:rsid w:val="00433331"/>
    <w:rsid w:val="00433609"/>
    <w:rsid w:val="004364D9"/>
    <w:rsid w:val="004367E5"/>
    <w:rsid w:val="00443122"/>
    <w:rsid w:val="00452DDB"/>
    <w:rsid w:val="004536A6"/>
    <w:rsid w:val="00461DD6"/>
    <w:rsid w:val="00480CDA"/>
    <w:rsid w:val="0048602B"/>
    <w:rsid w:val="004876BF"/>
    <w:rsid w:val="00491669"/>
    <w:rsid w:val="00493400"/>
    <w:rsid w:val="00497155"/>
    <w:rsid w:val="004A1E5F"/>
    <w:rsid w:val="004A475C"/>
    <w:rsid w:val="004A4988"/>
    <w:rsid w:val="004B1D31"/>
    <w:rsid w:val="004B3A77"/>
    <w:rsid w:val="004B453B"/>
    <w:rsid w:val="004B497B"/>
    <w:rsid w:val="004D61B5"/>
    <w:rsid w:val="004E4D09"/>
    <w:rsid w:val="004E7CCD"/>
    <w:rsid w:val="004F4F0E"/>
    <w:rsid w:val="00502E7E"/>
    <w:rsid w:val="00522DC4"/>
    <w:rsid w:val="00524BAE"/>
    <w:rsid w:val="005461B0"/>
    <w:rsid w:val="00546371"/>
    <w:rsid w:val="00556F85"/>
    <w:rsid w:val="00562F72"/>
    <w:rsid w:val="00564E7E"/>
    <w:rsid w:val="005651E5"/>
    <w:rsid w:val="0057350B"/>
    <w:rsid w:val="0057670D"/>
    <w:rsid w:val="00580EAE"/>
    <w:rsid w:val="0059210F"/>
    <w:rsid w:val="005931CF"/>
    <w:rsid w:val="005A1C56"/>
    <w:rsid w:val="005A3DD8"/>
    <w:rsid w:val="005A7703"/>
    <w:rsid w:val="005C379A"/>
    <w:rsid w:val="005C407B"/>
    <w:rsid w:val="005C73B4"/>
    <w:rsid w:val="005D1638"/>
    <w:rsid w:val="005D4F95"/>
    <w:rsid w:val="005D6DCC"/>
    <w:rsid w:val="005E00E7"/>
    <w:rsid w:val="005E233D"/>
    <w:rsid w:val="005E3284"/>
    <w:rsid w:val="005E5DBE"/>
    <w:rsid w:val="005F744C"/>
    <w:rsid w:val="00600767"/>
    <w:rsid w:val="00601535"/>
    <w:rsid w:val="006019BA"/>
    <w:rsid w:val="00601BF9"/>
    <w:rsid w:val="00615749"/>
    <w:rsid w:val="00616737"/>
    <w:rsid w:val="00622332"/>
    <w:rsid w:val="006322CC"/>
    <w:rsid w:val="0064160E"/>
    <w:rsid w:val="0065186C"/>
    <w:rsid w:val="0065518F"/>
    <w:rsid w:val="006651A9"/>
    <w:rsid w:val="00665B77"/>
    <w:rsid w:val="00675040"/>
    <w:rsid w:val="00690348"/>
    <w:rsid w:val="00692A2E"/>
    <w:rsid w:val="00694F42"/>
    <w:rsid w:val="00695103"/>
    <w:rsid w:val="006C0202"/>
    <w:rsid w:val="006E007A"/>
    <w:rsid w:val="006E1B2B"/>
    <w:rsid w:val="006E7CC9"/>
    <w:rsid w:val="007037D5"/>
    <w:rsid w:val="00721FD8"/>
    <w:rsid w:val="00727F6A"/>
    <w:rsid w:val="007409E9"/>
    <w:rsid w:val="00746471"/>
    <w:rsid w:val="00747E5A"/>
    <w:rsid w:val="00766112"/>
    <w:rsid w:val="00783F5A"/>
    <w:rsid w:val="0078720B"/>
    <w:rsid w:val="00792151"/>
    <w:rsid w:val="00794632"/>
    <w:rsid w:val="007A21A8"/>
    <w:rsid w:val="007B4E81"/>
    <w:rsid w:val="007C04D0"/>
    <w:rsid w:val="007C0F5A"/>
    <w:rsid w:val="007D1FC8"/>
    <w:rsid w:val="007D2B7D"/>
    <w:rsid w:val="008074E1"/>
    <w:rsid w:val="008126F8"/>
    <w:rsid w:val="00812856"/>
    <w:rsid w:val="00814ED2"/>
    <w:rsid w:val="00815145"/>
    <w:rsid w:val="0082785C"/>
    <w:rsid w:val="008278BD"/>
    <w:rsid w:val="008279C2"/>
    <w:rsid w:val="0084214C"/>
    <w:rsid w:val="00867D30"/>
    <w:rsid w:val="00881FB8"/>
    <w:rsid w:val="008A3C66"/>
    <w:rsid w:val="008B41A9"/>
    <w:rsid w:val="008B4D2D"/>
    <w:rsid w:val="008B5FB4"/>
    <w:rsid w:val="008C73C9"/>
    <w:rsid w:val="008E1003"/>
    <w:rsid w:val="008E191A"/>
    <w:rsid w:val="008E6547"/>
    <w:rsid w:val="008E7E44"/>
    <w:rsid w:val="0090076F"/>
    <w:rsid w:val="00904BB2"/>
    <w:rsid w:val="00927A14"/>
    <w:rsid w:val="00941B26"/>
    <w:rsid w:val="00955BB2"/>
    <w:rsid w:val="009736E0"/>
    <w:rsid w:val="00974F3C"/>
    <w:rsid w:val="009813CC"/>
    <w:rsid w:val="00984F43"/>
    <w:rsid w:val="00985DE4"/>
    <w:rsid w:val="00987399"/>
    <w:rsid w:val="00995357"/>
    <w:rsid w:val="009A2006"/>
    <w:rsid w:val="009A440D"/>
    <w:rsid w:val="009A5CCF"/>
    <w:rsid w:val="009B1A2D"/>
    <w:rsid w:val="009B7978"/>
    <w:rsid w:val="009D2F15"/>
    <w:rsid w:val="009D6355"/>
    <w:rsid w:val="009D7128"/>
    <w:rsid w:val="009E1DD1"/>
    <w:rsid w:val="009E2B52"/>
    <w:rsid w:val="009E738F"/>
    <w:rsid w:val="009F4405"/>
    <w:rsid w:val="00A104DB"/>
    <w:rsid w:val="00A10D72"/>
    <w:rsid w:val="00A20E08"/>
    <w:rsid w:val="00A20F8B"/>
    <w:rsid w:val="00A36718"/>
    <w:rsid w:val="00A36826"/>
    <w:rsid w:val="00A412CE"/>
    <w:rsid w:val="00A4189D"/>
    <w:rsid w:val="00A42B4F"/>
    <w:rsid w:val="00A42BF2"/>
    <w:rsid w:val="00A505EB"/>
    <w:rsid w:val="00A52815"/>
    <w:rsid w:val="00A56C0F"/>
    <w:rsid w:val="00A63E85"/>
    <w:rsid w:val="00A71A3C"/>
    <w:rsid w:val="00A836FA"/>
    <w:rsid w:val="00A961D6"/>
    <w:rsid w:val="00AA1DD1"/>
    <w:rsid w:val="00AA44E3"/>
    <w:rsid w:val="00AA5557"/>
    <w:rsid w:val="00AD506E"/>
    <w:rsid w:val="00AD52C8"/>
    <w:rsid w:val="00AE445F"/>
    <w:rsid w:val="00AE449C"/>
    <w:rsid w:val="00AE4DAE"/>
    <w:rsid w:val="00AF45D7"/>
    <w:rsid w:val="00AF7682"/>
    <w:rsid w:val="00B041EA"/>
    <w:rsid w:val="00B073C2"/>
    <w:rsid w:val="00B16C4E"/>
    <w:rsid w:val="00B170FB"/>
    <w:rsid w:val="00B27843"/>
    <w:rsid w:val="00B32AB3"/>
    <w:rsid w:val="00B4641C"/>
    <w:rsid w:val="00B64923"/>
    <w:rsid w:val="00B660A6"/>
    <w:rsid w:val="00B6664D"/>
    <w:rsid w:val="00B71DE0"/>
    <w:rsid w:val="00B7492B"/>
    <w:rsid w:val="00B83D74"/>
    <w:rsid w:val="00B92C85"/>
    <w:rsid w:val="00B96F71"/>
    <w:rsid w:val="00BA0149"/>
    <w:rsid w:val="00BA2727"/>
    <w:rsid w:val="00BA49A3"/>
    <w:rsid w:val="00BB1124"/>
    <w:rsid w:val="00BC2897"/>
    <w:rsid w:val="00BC46B9"/>
    <w:rsid w:val="00BD21EA"/>
    <w:rsid w:val="00BD2601"/>
    <w:rsid w:val="00BD53E4"/>
    <w:rsid w:val="00BD6DFE"/>
    <w:rsid w:val="00BD7723"/>
    <w:rsid w:val="00BE4792"/>
    <w:rsid w:val="00BE60D8"/>
    <w:rsid w:val="00C00A34"/>
    <w:rsid w:val="00C225C9"/>
    <w:rsid w:val="00C55821"/>
    <w:rsid w:val="00C62144"/>
    <w:rsid w:val="00C662CD"/>
    <w:rsid w:val="00C70A7A"/>
    <w:rsid w:val="00C76F1D"/>
    <w:rsid w:val="00CB4112"/>
    <w:rsid w:val="00CC6B46"/>
    <w:rsid w:val="00CD56AE"/>
    <w:rsid w:val="00CE64D4"/>
    <w:rsid w:val="00CF2E78"/>
    <w:rsid w:val="00D02D0F"/>
    <w:rsid w:val="00D06ADA"/>
    <w:rsid w:val="00D117DD"/>
    <w:rsid w:val="00D15BB5"/>
    <w:rsid w:val="00D20980"/>
    <w:rsid w:val="00D2142F"/>
    <w:rsid w:val="00D35AE7"/>
    <w:rsid w:val="00D42645"/>
    <w:rsid w:val="00D65F62"/>
    <w:rsid w:val="00D71DBE"/>
    <w:rsid w:val="00D80C77"/>
    <w:rsid w:val="00D84D06"/>
    <w:rsid w:val="00D84EA4"/>
    <w:rsid w:val="00D92978"/>
    <w:rsid w:val="00D93FB1"/>
    <w:rsid w:val="00DA2BB9"/>
    <w:rsid w:val="00DA4F15"/>
    <w:rsid w:val="00DB14E8"/>
    <w:rsid w:val="00DB48AA"/>
    <w:rsid w:val="00DB70FD"/>
    <w:rsid w:val="00DC1921"/>
    <w:rsid w:val="00DC2836"/>
    <w:rsid w:val="00DC4E68"/>
    <w:rsid w:val="00DD097A"/>
    <w:rsid w:val="00DE1E82"/>
    <w:rsid w:val="00DF1F0D"/>
    <w:rsid w:val="00DF308D"/>
    <w:rsid w:val="00DF56E2"/>
    <w:rsid w:val="00E00D7E"/>
    <w:rsid w:val="00E03D11"/>
    <w:rsid w:val="00E071AA"/>
    <w:rsid w:val="00E11C38"/>
    <w:rsid w:val="00E12175"/>
    <w:rsid w:val="00E13D34"/>
    <w:rsid w:val="00E22C5C"/>
    <w:rsid w:val="00E442C4"/>
    <w:rsid w:val="00E50DAD"/>
    <w:rsid w:val="00E578F9"/>
    <w:rsid w:val="00E57CB0"/>
    <w:rsid w:val="00E613B4"/>
    <w:rsid w:val="00E65B28"/>
    <w:rsid w:val="00E92ABA"/>
    <w:rsid w:val="00EA1CD3"/>
    <w:rsid w:val="00EB0287"/>
    <w:rsid w:val="00EB524D"/>
    <w:rsid w:val="00EB5842"/>
    <w:rsid w:val="00EB67E4"/>
    <w:rsid w:val="00EE0918"/>
    <w:rsid w:val="00EE30B4"/>
    <w:rsid w:val="00EE3BD2"/>
    <w:rsid w:val="00EE3C24"/>
    <w:rsid w:val="00F01F22"/>
    <w:rsid w:val="00F137B8"/>
    <w:rsid w:val="00F24441"/>
    <w:rsid w:val="00F30FCB"/>
    <w:rsid w:val="00F3767F"/>
    <w:rsid w:val="00F44CFF"/>
    <w:rsid w:val="00F50529"/>
    <w:rsid w:val="00F5764C"/>
    <w:rsid w:val="00F67B62"/>
    <w:rsid w:val="00F72D43"/>
    <w:rsid w:val="00F74766"/>
    <w:rsid w:val="00F74B4F"/>
    <w:rsid w:val="00FB1375"/>
    <w:rsid w:val="00FB1407"/>
    <w:rsid w:val="00FD00D1"/>
    <w:rsid w:val="00FD4459"/>
    <w:rsid w:val="00FE44E1"/>
    <w:rsid w:val="00FE5061"/>
    <w:rsid w:val="00FE566C"/>
    <w:rsid w:val="00FE6C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559"/>
    <w:pPr>
      <w:autoSpaceDE w:val="0"/>
      <w:autoSpaceDN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82559"/>
    <w:pPr>
      <w:tabs>
        <w:tab w:val="center" w:pos="4677"/>
        <w:tab w:val="right" w:pos="9355"/>
      </w:tabs>
    </w:pPr>
  </w:style>
  <w:style w:type="paragraph" w:styleId="a5">
    <w:name w:val="footer"/>
    <w:basedOn w:val="a"/>
    <w:rsid w:val="00082559"/>
    <w:pPr>
      <w:tabs>
        <w:tab w:val="center" w:pos="4677"/>
        <w:tab w:val="right" w:pos="9355"/>
      </w:tabs>
    </w:pPr>
  </w:style>
  <w:style w:type="paragraph" w:customStyle="1" w:styleId="OEM">
    <w:name w:val="Нормальный (OEM)"/>
    <w:basedOn w:val="a"/>
    <w:next w:val="a"/>
    <w:rsid w:val="00082559"/>
    <w:pPr>
      <w:jc w:val="both"/>
    </w:pPr>
    <w:rPr>
      <w:rFonts w:ascii="Courier New" w:hAnsi="Courier New" w:cs="Courier New"/>
      <w:sz w:val="20"/>
      <w:szCs w:val="20"/>
    </w:rPr>
  </w:style>
  <w:style w:type="paragraph" w:styleId="a6">
    <w:name w:val="Balloon Text"/>
    <w:basedOn w:val="a"/>
    <w:semiHidden/>
    <w:rsid w:val="000A1815"/>
    <w:rPr>
      <w:rFonts w:ascii="Tahoma" w:hAnsi="Tahoma" w:cs="Tahoma"/>
      <w:sz w:val="16"/>
      <w:szCs w:val="16"/>
    </w:rPr>
  </w:style>
  <w:style w:type="table" w:styleId="a7">
    <w:name w:val="Table Grid"/>
    <w:basedOn w:val="a1"/>
    <w:rsid w:val="00CE64D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3B197D"/>
    <w:pPr>
      <w:widowControl w:val="0"/>
      <w:autoSpaceDE w:val="0"/>
      <w:autoSpaceDN w:val="0"/>
      <w:jc w:val="both"/>
    </w:pPr>
    <w:rPr>
      <w:rFonts w:ascii="Courier New" w:hAnsi="Courier New" w:cs="Courier New"/>
    </w:rPr>
  </w:style>
  <w:style w:type="paragraph" w:styleId="3">
    <w:name w:val="Body Text Indent 3"/>
    <w:basedOn w:val="a"/>
    <w:link w:val="30"/>
    <w:uiPriority w:val="99"/>
    <w:rsid w:val="00232BD1"/>
    <w:pPr>
      <w:autoSpaceDE/>
      <w:autoSpaceDN/>
      <w:spacing w:after="120"/>
      <w:ind w:left="283"/>
    </w:pPr>
    <w:rPr>
      <w:sz w:val="16"/>
      <w:szCs w:val="16"/>
    </w:rPr>
  </w:style>
  <w:style w:type="character" w:customStyle="1" w:styleId="SUBST">
    <w:name w:val="__SUBST"/>
    <w:rsid w:val="00232BD1"/>
    <w:rPr>
      <w:b/>
      <w:i/>
      <w:sz w:val="22"/>
    </w:rPr>
  </w:style>
  <w:style w:type="paragraph" w:styleId="a8">
    <w:name w:val="Plain Text"/>
    <w:aliases w:val="Текст Знак Знак Знак Знак Знак Знак Знак Знак Знак Знак"/>
    <w:basedOn w:val="a"/>
    <w:link w:val="a9"/>
    <w:uiPriority w:val="99"/>
    <w:rsid w:val="00232BD1"/>
    <w:pPr>
      <w:autoSpaceDE/>
      <w:autoSpaceDN/>
      <w:jc w:val="both"/>
    </w:pPr>
  </w:style>
  <w:style w:type="paragraph" w:styleId="aa">
    <w:name w:val="Body Text Indent"/>
    <w:basedOn w:val="a"/>
    <w:rsid w:val="00034694"/>
    <w:pPr>
      <w:spacing w:after="120" w:line="480" w:lineRule="auto"/>
    </w:pPr>
  </w:style>
  <w:style w:type="paragraph" w:customStyle="1" w:styleId="BodyText21">
    <w:name w:val="Body Text 21"/>
    <w:basedOn w:val="a"/>
    <w:uiPriority w:val="99"/>
    <w:rsid w:val="00D42645"/>
    <w:pPr>
      <w:autoSpaceDE/>
      <w:autoSpaceDN/>
      <w:spacing w:line="360" w:lineRule="auto"/>
      <w:ind w:firstLine="567"/>
      <w:jc w:val="both"/>
    </w:pPr>
    <w:rPr>
      <w:rFonts w:ascii="Times New Roman CYR" w:hAnsi="Times New Roman CYR" w:cs="Times New Roman CYR"/>
    </w:rPr>
  </w:style>
  <w:style w:type="character" w:customStyle="1" w:styleId="a9">
    <w:name w:val="Текст Знак"/>
    <w:aliases w:val="Текст Знак Знак Знак Знак Знак Знак Знак Знак Знак Знак Знак"/>
    <w:link w:val="a8"/>
    <w:uiPriority w:val="99"/>
    <w:semiHidden/>
    <w:rsid w:val="00D42645"/>
    <w:rPr>
      <w:sz w:val="24"/>
      <w:szCs w:val="24"/>
      <w:lang w:val="ru-RU" w:eastAsia="ru-RU" w:bidi="ar-SA"/>
    </w:rPr>
  </w:style>
  <w:style w:type="character" w:styleId="ab">
    <w:name w:val="Hyperlink"/>
    <w:rsid w:val="00FB1407"/>
    <w:rPr>
      <w:color w:val="0000FF"/>
      <w:u w:val="single"/>
    </w:rPr>
  </w:style>
  <w:style w:type="paragraph" w:styleId="31">
    <w:name w:val="Body Text 3"/>
    <w:basedOn w:val="a"/>
    <w:rsid w:val="00FB1407"/>
    <w:pPr>
      <w:spacing w:after="120"/>
    </w:pPr>
    <w:rPr>
      <w:sz w:val="16"/>
      <w:szCs w:val="16"/>
    </w:rPr>
  </w:style>
  <w:style w:type="paragraph" w:styleId="2">
    <w:name w:val="Body Text 2"/>
    <w:basedOn w:val="a"/>
    <w:rsid w:val="005A7703"/>
    <w:pPr>
      <w:spacing w:after="120" w:line="480" w:lineRule="auto"/>
    </w:pPr>
  </w:style>
  <w:style w:type="paragraph" w:customStyle="1" w:styleId="ac">
    <w:name w:val="Знак"/>
    <w:basedOn w:val="a"/>
    <w:rsid w:val="001E2BA5"/>
    <w:pPr>
      <w:autoSpaceDE/>
      <w:autoSpaceDN/>
      <w:spacing w:after="160" w:line="240" w:lineRule="exact"/>
    </w:pPr>
    <w:rPr>
      <w:rFonts w:ascii="Verdana" w:hAnsi="Verdana" w:cs="Verdana"/>
      <w:sz w:val="20"/>
      <w:szCs w:val="20"/>
      <w:lang w:val="en-US" w:eastAsia="en-US"/>
    </w:rPr>
  </w:style>
  <w:style w:type="character" w:customStyle="1" w:styleId="ad">
    <w:name w:val="Продолжение ссылки"/>
    <w:basedOn w:val="a0"/>
    <w:rsid w:val="001E2BA5"/>
  </w:style>
  <w:style w:type="paragraph" w:customStyle="1" w:styleId="1">
    <w:name w:val="Стиль Подзаголовка 1"/>
    <w:basedOn w:val="a"/>
    <w:rsid w:val="00904BB2"/>
    <w:pPr>
      <w:keepNext/>
      <w:numPr>
        <w:ilvl w:val="12"/>
      </w:numPr>
      <w:autoSpaceDE/>
      <w:autoSpaceDN/>
      <w:spacing w:before="240"/>
      <w:jc w:val="both"/>
    </w:pPr>
    <w:rPr>
      <w:b/>
      <w:bCs/>
      <w:i/>
      <w:iCs/>
      <w:sz w:val="22"/>
      <w:szCs w:val="22"/>
    </w:rPr>
  </w:style>
  <w:style w:type="paragraph" w:customStyle="1" w:styleId="BodyTextIndent1">
    <w:name w:val="Body Text Indent1"/>
    <w:basedOn w:val="a"/>
    <w:rsid w:val="00904BB2"/>
    <w:pPr>
      <w:widowControl w:val="0"/>
      <w:adjustRightInd w:val="0"/>
      <w:spacing w:before="20" w:after="120"/>
      <w:ind w:left="283"/>
    </w:pPr>
    <w:rPr>
      <w:sz w:val="22"/>
      <w:szCs w:val="22"/>
    </w:rPr>
  </w:style>
  <w:style w:type="character" w:styleId="ae">
    <w:name w:val="Strong"/>
    <w:qFormat/>
    <w:rsid w:val="00904BB2"/>
    <w:rPr>
      <w:b/>
      <w:bCs/>
    </w:rPr>
  </w:style>
  <w:style w:type="paragraph" w:customStyle="1" w:styleId="BodyTextbt">
    <w:name w:val="Body Text.bt"/>
    <w:basedOn w:val="a"/>
    <w:rsid w:val="00904BB2"/>
    <w:pPr>
      <w:jc w:val="both"/>
    </w:pPr>
    <w:rPr>
      <w:b/>
      <w:bCs/>
      <w:i/>
      <w:iCs/>
      <w:sz w:val="22"/>
      <w:szCs w:val="22"/>
    </w:rPr>
  </w:style>
  <w:style w:type="paragraph" w:customStyle="1" w:styleId="ConsNormal">
    <w:name w:val="ConsNormal"/>
    <w:uiPriority w:val="99"/>
    <w:rsid w:val="00F137B8"/>
    <w:pPr>
      <w:autoSpaceDE w:val="0"/>
      <w:autoSpaceDN w:val="0"/>
      <w:ind w:right="19771" w:firstLine="539"/>
      <w:jc w:val="both"/>
    </w:pPr>
    <w:rPr>
      <w:rFonts w:ascii="Courier New" w:hAnsi="Courier New" w:cs="Courier New"/>
      <w:lang w:val="en-US"/>
    </w:rPr>
  </w:style>
  <w:style w:type="paragraph" w:customStyle="1" w:styleId="NormalPrefix">
    <w:name w:val="Normal Prefix"/>
    <w:link w:val="NormalPrefix0"/>
    <w:rsid w:val="00F137B8"/>
    <w:pPr>
      <w:widowControl w:val="0"/>
      <w:spacing w:before="200" w:after="40"/>
    </w:pPr>
    <w:rPr>
      <w:sz w:val="22"/>
      <w:szCs w:val="22"/>
      <w:lang w:eastAsia="en-US"/>
    </w:rPr>
  </w:style>
  <w:style w:type="paragraph" w:styleId="af">
    <w:name w:val="Body Text"/>
    <w:basedOn w:val="a"/>
    <w:link w:val="af0"/>
    <w:uiPriority w:val="99"/>
    <w:rsid w:val="00D80C77"/>
    <w:pPr>
      <w:spacing w:after="120"/>
    </w:pPr>
  </w:style>
  <w:style w:type="paragraph" w:customStyle="1" w:styleId="10">
    <w:name w:val="Абзац списка1"/>
    <w:basedOn w:val="a"/>
    <w:rsid w:val="008E1003"/>
    <w:pPr>
      <w:ind w:left="720"/>
      <w:contextualSpacing/>
    </w:pPr>
    <w:rPr>
      <w:sz w:val="20"/>
      <w:szCs w:val="20"/>
      <w:lang w:eastAsia="en-US"/>
    </w:rPr>
  </w:style>
  <w:style w:type="character" w:customStyle="1" w:styleId="NormalPrefix0">
    <w:name w:val="Normal Prefix Знак"/>
    <w:link w:val="NormalPrefix"/>
    <w:locked/>
    <w:rsid w:val="008E1003"/>
    <w:rPr>
      <w:sz w:val="22"/>
      <w:szCs w:val="22"/>
      <w:lang w:val="ru-RU" w:eastAsia="en-US" w:bidi="ar-SA"/>
    </w:rPr>
  </w:style>
  <w:style w:type="paragraph" w:customStyle="1" w:styleId="Heading21">
    <w:name w:val="Heading 21"/>
    <w:rsid w:val="008E1003"/>
    <w:pPr>
      <w:widowControl w:val="0"/>
      <w:spacing w:before="360" w:after="40"/>
    </w:pPr>
    <w:rPr>
      <w:b/>
      <w:bCs/>
      <w:sz w:val="24"/>
      <w:szCs w:val="24"/>
    </w:rPr>
  </w:style>
  <w:style w:type="paragraph" w:customStyle="1" w:styleId="ConsPlusNormal">
    <w:name w:val="ConsPlusNormal"/>
    <w:rsid w:val="006651A9"/>
    <w:pPr>
      <w:autoSpaceDE w:val="0"/>
      <w:autoSpaceDN w:val="0"/>
      <w:adjustRightInd w:val="0"/>
      <w:ind w:firstLine="720"/>
    </w:pPr>
    <w:rPr>
      <w:rFonts w:ascii="Arial" w:hAnsi="Arial" w:cs="Arial"/>
      <w:lang w:eastAsia="en-US"/>
    </w:rPr>
  </w:style>
  <w:style w:type="character" w:customStyle="1" w:styleId="a4">
    <w:name w:val="Верхний колонтитул Знак"/>
    <w:link w:val="a3"/>
    <w:uiPriority w:val="99"/>
    <w:locked/>
    <w:rsid w:val="004A475C"/>
    <w:rPr>
      <w:sz w:val="24"/>
      <w:szCs w:val="24"/>
    </w:rPr>
  </w:style>
  <w:style w:type="character" w:customStyle="1" w:styleId="30">
    <w:name w:val="Основной текст с отступом 3 Знак"/>
    <w:link w:val="3"/>
    <w:uiPriority w:val="99"/>
    <w:locked/>
    <w:rsid w:val="004A475C"/>
    <w:rPr>
      <w:sz w:val="16"/>
      <w:szCs w:val="16"/>
    </w:rPr>
  </w:style>
  <w:style w:type="character" w:styleId="af1">
    <w:name w:val="annotation reference"/>
    <w:uiPriority w:val="99"/>
    <w:semiHidden/>
    <w:unhideWhenUsed/>
    <w:rsid w:val="009E738F"/>
    <w:rPr>
      <w:sz w:val="16"/>
      <w:szCs w:val="16"/>
    </w:rPr>
  </w:style>
  <w:style w:type="paragraph" w:styleId="af2">
    <w:name w:val="annotation text"/>
    <w:basedOn w:val="a"/>
    <w:link w:val="af3"/>
    <w:uiPriority w:val="99"/>
    <w:semiHidden/>
    <w:unhideWhenUsed/>
    <w:rsid w:val="009E738F"/>
    <w:rPr>
      <w:sz w:val="20"/>
      <w:szCs w:val="20"/>
    </w:rPr>
  </w:style>
  <w:style w:type="character" w:customStyle="1" w:styleId="af3">
    <w:name w:val="Текст примечания Знак"/>
    <w:basedOn w:val="a0"/>
    <w:link w:val="af2"/>
    <w:uiPriority w:val="99"/>
    <w:semiHidden/>
    <w:rsid w:val="009E738F"/>
  </w:style>
  <w:style w:type="paragraph" w:styleId="af4">
    <w:name w:val="annotation subject"/>
    <w:basedOn w:val="af2"/>
    <w:next w:val="af2"/>
    <w:link w:val="af5"/>
    <w:uiPriority w:val="99"/>
    <w:semiHidden/>
    <w:unhideWhenUsed/>
    <w:rsid w:val="009E738F"/>
    <w:rPr>
      <w:b/>
      <w:bCs/>
    </w:rPr>
  </w:style>
  <w:style w:type="character" w:customStyle="1" w:styleId="af5">
    <w:name w:val="Тема примечания Знак"/>
    <w:link w:val="af4"/>
    <w:uiPriority w:val="99"/>
    <w:semiHidden/>
    <w:rsid w:val="009E738F"/>
    <w:rPr>
      <w:b/>
      <w:bCs/>
    </w:rPr>
  </w:style>
  <w:style w:type="paragraph" w:styleId="20">
    <w:name w:val="Body Text Indent 2"/>
    <w:basedOn w:val="a"/>
    <w:link w:val="21"/>
    <w:uiPriority w:val="99"/>
    <w:semiHidden/>
    <w:unhideWhenUsed/>
    <w:rsid w:val="006C0202"/>
    <w:pPr>
      <w:spacing w:after="120" w:line="480" w:lineRule="auto"/>
      <w:ind w:left="283"/>
    </w:pPr>
  </w:style>
  <w:style w:type="character" w:customStyle="1" w:styleId="21">
    <w:name w:val="Основной текст с отступом 2 Знак"/>
    <w:link w:val="20"/>
    <w:uiPriority w:val="99"/>
    <w:semiHidden/>
    <w:rsid w:val="006C0202"/>
    <w:rPr>
      <w:sz w:val="24"/>
      <w:szCs w:val="24"/>
    </w:rPr>
  </w:style>
  <w:style w:type="paragraph" w:customStyle="1" w:styleId="BodyTextPragmaticaCTT">
    <w:name w:val="Body Text + PragmaticaCTT"/>
    <w:basedOn w:val="af"/>
    <w:rsid w:val="004E4D09"/>
    <w:pPr>
      <w:autoSpaceDE/>
      <w:autoSpaceDN/>
      <w:spacing w:after="0"/>
      <w:jc w:val="both"/>
    </w:pPr>
    <w:rPr>
      <w:rFonts w:ascii="PragmaticaCTT" w:hAnsi="PragmaticaCTT"/>
      <w:sz w:val="22"/>
      <w:szCs w:val="22"/>
    </w:rPr>
  </w:style>
  <w:style w:type="paragraph" w:styleId="af6">
    <w:name w:val="List Paragraph"/>
    <w:basedOn w:val="a"/>
    <w:uiPriority w:val="99"/>
    <w:qFormat/>
    <w:rsid w:val="008126F8"/>
    <w:pPr>
      <w:autoSpaceDE/>
      <w:autoSpaceDN/>
      <w:ind w:left="720"/>
      <w:contextualSpacing/>
    </w:pPr>
    <w:rPr>
      <w:lang w:val="en-US" w:eastAsia="en-US"/>
    </w:rPr>
  </w:style>
  <w:style w:type="paragraph" w:customStyle="1" w:styleId="Iauiue">
    <w:name w:val="Iau?iue"/>
    <w:uiPriority w:val="99"/>
    <w:rsid w:val="00AF45D7"/>
    <w:pPr>
      <w:overflowPunct w:val="0"/>
      <w:autoSpaceDE w:val="0"/>
      <w:autoSpaceDN w:val="0"/>
      <w:adjustRightInd w:val="0"/>
      <w:textAlignment w:val="baseline"/>
    </w:pPr>
    <w:rPr>
      <w:rFonts w:ascii="SchoolBook" w:hAnsi="SchoolBook"/>
      <w:sz w:val="22"/>
    </w:rPr>
  </w:style>
  <w:style w:type="paragraph" w:styleId="af7">
    <w:name w:val="Title"/>
    <w:basedOn w:val="a"/>
    <w:link w:val="af8"/>
    <w:qFormat/>
    <w:rsid w:val="00402961"/>
    <w:pPr>
      <w:autoSpaceDE/>
      <w:autoSpaceDN/>
      <w:ind w:right="-81"/>
      <w:jc w:val="center"/>
    </w:pPr>
    <w:rPr>
      <w:rFonts w:ascii="PragmaticaCTT" w:hAnsi="PragmaticaCTT"/>
      <w:b/>
      <w:bCs/>
      <w:sz w:val="22"/>
      <w:lang w:eastAsia="en-US"/>
    </w:rPr>
  </w:style>
  <w:style w:type="character" w:customStyle="1" w:styleId="af8">
    <w:name w:val="Название Знак"/>
    <w:link w:val="af7"/>
    <w:rsid w:val="00402961"/>
    <w:rPr>
      <w:rFonts w:ascii="PragmaticaCTT" w:hAnsi="PragmaticaCTT"/>
      <w:b/>
      <w:bCs/>
      <w:sz w:val="22"/>
      <w:szCs w:val="24"/>
      <w:lang w:eastAsia="en-US"/>
    </w:rPr>
  </w:style>
  <w:style w:type="character" w:customStyle="1" w:styleId="af0">
    <w:name w:val="Основной текст Знак"/>
    <w:link w:val="af"/>
    <w:uiPriority w:val="99"/>
    <w:rsid w:val="008B41A9"/>
    <w:rPr>
      <w:sz w:val="24"/>
      <w:szCs w:val="24"/>
    </w:rPr>
  </w:style>
  <w:style w:type="paragraph" w:customStyle="1" w:styleId="af9">
    <w:name w:val="......."/>
    <w:basedOn w:val="a"/>
    <w:next w:val="a"/>
    <w:uiPriority w:val="99"/>
    <w:rsid w:val="000F15CE"/>
    <w:pPr>
      <w:adjustRightInd w:val="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bd5b5c17-ff0e-4a45-8ade-b1db9e1fb804">
  <element uid="id_classification_internalonly" value=""/>
</sisl>
</file>

<file path=customXml/itemProps1.xml><?xml version="1.0" encoding="utf-8"?>
<ds:datastoreItem xmlns:ds="http://schemas.openxmlformats.org/officeDocument/2006/customXml" ds:itemID="{0A112864-975D-463E-A738-5F542F51456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4108</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16</vt:lpstr>
      <vt:lpstr>Приложение 16</vt:lpstr>
    </vt:vector>
  </TitlesOfParts>
  <Company>garant</Company>
  <LinksUpToDate>false</LinksUpToDate>
  <CharactersWithSpaces>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16</dc:title>
  <dc:creator>natasha bezlepkina</dc:creator>
  <cp:lastModifiedBy>user</cp:lastModifiedBy>
  <cp:revision>3</cp:revision>
  <cp:lastPrinted>2016-01-22T08:07:00Z</cp:lastPrinted>
  <dcterms:created xsi:type="dcterms:W3CDTF">2016-01-22T08:07:00Z</dcterms:created>
  <dcterms:modified xsi:type="dcterms:W3CDTF">2016-01-28T15:07:00Z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6672ca09-3163-4001-98f1-ceb7c6866eb8</vt:lpwstr>
  </property>
  <property fmtid="{D5CDD505-2E9C-101B-9397-08002B2CF9AE}" pid="3" name="bjSaver">
    <vt:lpwstr>64W9IjCyiFZ5qiiLw+0wpeoVKVvVjjbF</vt:lpwstr>
  </property>
  <property fmtid="{D5CDD505-2E9C-101B-9397-08002B2CF9AE}" pid="4" name="bjDocumentLabelXML">
    <vt:lpwstr>&lt;?xml version="1.0" encoding="us-ascii"?&gt;&lt;sisl xmlns:xsi="http://www.w3.org/2001/XMLSchema-instance" xmlns:xsd="http://www.w3.org/2001/XMLSchema" sislVersion="0" policy="bd5b5c17-ff0e-4a45-8ade-b1db9e1fb804" xmlns="http://www.boldonjames.com/2008/01/sie/i</vt:lpwstr>
  </property>
  <property fmtid="{D5CDD505-2E9C-101B-9397-08002B2CF9AE}" pid="5" name="bjDocumentLabelXML-0">
    <vt:lpwstr>nternal/label"&gt;&lt;element uid="id_classification_internalonly" value="" /&gt;&lt;/sisl&gt;</vt:lpwstr>
  </property>
  <property fmtid="{D5CDD505-2E9C-101B-9397-08002B2CF9AE}" pid="6" name="bjDocumentSecurityLabel">
    <vt:lpwstr>Для внутреннего пользования (C1 - Internal)</vt:lpwstr>
  </property>
</Properties>
</file>